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69" w:rsidRDefault="008D5769" w:rsidP="000B0FAF">
      <w:pPr>
        <w:pStyle w:val="Heading1"/>
        <w:jc w:val="center"/>
      </w:pPr>
    </w:p>
    <w:p w:rsidR="000B0FAF" w:rsidRPr="00046B66" w:rsidRDefault="00DD72DA" w:rsidP="000B0FAF">
      <w:pPr>
        <w:pStyle w:val="Heading1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S</w:t>
      </w:r>
      <w:r w:rsidR="000B0FAF" w:rsidRPr="00046B66">
        <w:rPr>
          <w:color w:val="244061" w:themeColor="accent1" w:themeShade="80"/>
        </w:rPr>
        <w:t>RS Purchasing Smartsheet Instructions</w:t>
      </w:r>
    </w:p>
    <w:p w:rsidR="003B3B72" w:rsidRDefault="003B3B72" w:rsidP="003B3B72"/>
    <w:p w:rsidR="003B3B72" w:rsidRPr="003B3B72" w:rsidRDefault="003B3B72" w:rsidP="003B3B72"/>
    <w:p w:rsidR="003B3B72" w:rsidRPr="003B3B72" w:rsidRDefault="003B3B72" w:rsidP="003B3B72">
      <w:pPr>
        <w:jc w:val="center"/>
      </w:pPr>
      <w:r>
        <w:t>Table of Contents</w:t>
      </w:r>
    </w:p>
    <w:p w:rsidR="003B3B72" w:rsidRDefault="00E41D3F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r>
        <w:rPr>
          <w:rFonts w:ascii="Century Schoolbook" w:hAnsi="Century Schoolbook" w:cs="GillSans"/>
          <w:sz w:val="28"/>
          <w:szCs w:val="28"/>
        </w:rPr>
        <w:fldChar w:fldCharType="begin"/>
      </w:r>
      <w:r>
        <w:rPr>
          <w:rFonts w:ascii="Century Schoolbook" w:hAnsi="Century Schoolbook" w:cs="GillSans"/>
          <w:sz w:val="28"/>
          <w:szCs w:val="28"/>
        </w:rPr>
        <w:instrText xml:space="preserve"> TOC \h \z \t "Intense Quote,1" </w:instrText>
      </w:r>
      <w:r>
        <w:rPr>
          <w:rFonts w:ascii="Century Schoolbook" w:hAnsi="Century Schoolbook" w:cs="GillSans"/>
          <w:sz w:val="28"/>
          <w:szCs w:val="28"/>
        </w:rPr>
        <w:fldChar w:fldCharType="separate"/>
      </w:r>
      <w:hyperlink w:anchor="_Toc413397053" w:history="1">
        <w:r w:rsidR="003B3B72" w:rsidRPr="00015503">
          <w:rPr>
            <w:rStyle w:val="Hyperlink"/>
            <w:noProof/>
          </w:rPr>
          <w:t>Overview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_Toc413397053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1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8E186D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54" w:history="1">
        <w:r w:rsidR="003B3B72" w:rsidRPr="00015503">
          <w:rPr>
            <w:rStyle w:val="Hyperlink"/>
            <w:noProof/>
          </w:rPr>
          <w:t>To Request a Purchase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_Toc413397054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2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8E186D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55" w:history="1">
        <w:r w:rsidR="003B3B72" w:rsidRPr="00015503">
          <w:rPr>
            <w:rStyle w:val="Hyperlink"/>
            <w:noProof/>
          </w:rPr>
          <w:t>To Request Payment of an Invoice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_Toc413397055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4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8E186D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56" w:history="1">
        <w:r w:rsidR="003B3B72" w:rsidRPr="00015503">
          <w:rPr>
            <w:rStyle w:val="Hyperlink"/>
            <w:noProof/>
          </w:rPr>
          <w:t>To Request a Charge-back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_Toc413397056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6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8E186D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57" w:history="1">
        <w:r w:rsidR="003B3B72" w:rsidRPr="00015503">
          <w:rPr>
            <w:rStyle w:val="Hyperlink"/>
            <w:noProof/>
          </w:rPr>
          <w:t>Travel and/or Training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_Toc413397057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8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8E186D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58" w:history="1">
        <w:r w:rsidR="003B3B72" w:rsidRPr="00015503">
          <w:rPr>
            <w:rStyle w:val="Hyperlink"/>
            <w:noProof/>
          </w:rPr>
          <w:t>Employee Reimbursements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_Toc413397058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8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8E186D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59" w:history="1">
        <w:r w:rsidR="003B3B72" w:rsidRPr="00015503">
          <w:rPr>
            <w:rStyle w:val="Hyperlink"/>
            <w:noProof/>
          </w:rPr>
          <w:t>Appendix A  –  Attachment Naming Convention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_Toc413397059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8</w:t>
        </w:r>
        <w:r w:rsidR="003B3B72">
          <w:rPr>
            <w:noProof/>
            <w:webHidden/>
          </w:rPr>
          <w:fldChar w:fldCharType="end"/>
        </w:r>
      </w:hyperlink>
    </w:p>
    <w:p w:rsidR="003B3B72" w:rsidRDefault="008E186D" w:rsidP="003B3B72">
      <w:pPr>
        <w:pStyle w:val="TOC1"/>
        <w:tabs>
          <w:tab w:val="clear" w:pos="9350"/>
          <w:tab w:val="right" w:leader="dot" w:pos="7200"/>
        </w:tabs>
        <w:spacing w:after="0" w:line="240" w:lineRule="auto"/>
        <w:ind w:left="2160"/>
        <w:rPr>
          <w:rFonts w:eastAsiaTheme="minorEastAsia"/>
          <w:noProof/>
        </w:rPr>
      </w:pPr>
      <w:hyperlink w:anchor="_Toc413397060" w:history="1">
        <w:r w:rsidR="003B3B72" w:rsidRPr="00015503">
          <w:rPr>
            <w:rStyle w:val="Hyperlink"/>
            <w:noProof/>
          </w:rPr>
          <w:t>Appendix B  –  Field List / Quick Reference</w:t>
        </w:r>
        <w:r w:rsidR="003B3B72">
          <w:rPr>
            <w:noProof/>
            <w:webHidden/>
          </w:rPr>
          <w:tab/>
        </w:r>
        <w:r w:rsidR="003B3B72">
          <w:rPr>
            <w:noProof/>
            <w:webHidden/>
          </w:rPr>
          <w:fldChar w:fldCharType="begin"/>
        </w:r>
        <w:r w:rsidR="003B3B72">
          <w:rPr>
            <w:noProof/>
            <w:webHidden/>
          </w:rPr>
          <w:instrText xml:space="preserve"> PAGEREF _Toc413397060 \h </w:instrText>
        </w:r>
        <w:r w:rsidR="003B3B72">
          <w:rPr>
            <w:noProof/>
            <w:webHidden/>
          </w:rPr>
        </w:r>
        <w:r w:rsidR="003B3B72">
          <w:rPr>
            <w:noProof/>
            <w:webHidden/>
          </w:rPr>
          <w:fldChar w:fldCharType="separate"/>
        </w:r>
        <w:r w:rsidR="00946D43">
          <w:rPr>
            <w:noProof/>
            <w:webHidden/>
          </w:rPr>
          <w:t>10</w:t>
        </w:r>
        <w:r w:rsidR="003B3B72">
          <w:rPr>
            <w:noProof/>
            <w:webHidden/>
          </w:rPr>
          <w:fldChar w:fldCharType="end"/>
        </w:r>
      </w:hyperlink>
    </w:p>
    <w:p w:rsidR="001146DB" w:rsidRDefault="00E41D3F" w:rsidP="003B3B72">
      <w:pPr>
        <w:tabs>
          <w:tab w:val="right" w:leader="dot" w:pos="7200"/>
        </w:tabs>
        <w:autoSpaceDE w:val="0"/>
        <w:autoSpaceDN w:val="0"/>
        <w:adjustRightInd w:val="0"/>
        <w:spacing w:line="240" w:lineRule="auto"/>
        <w:ind w:left="2160"/>
        <w:rPr>
          <w:rFonts w:ascii="Century Schoolbook" w:hAnsi="Century Schoolbook" w:cs="GillSans"/>
          <w:sz w:val="28"/>
          <w:szCs w:val="28"/>
        </w:rPr>
      </w:pPr>
      <w:r>
        <w:rPr>
          <w:rFonts w:ascii="Century Schoolbook" w:hAnsi="Century Schoolbook" w:cs="GillSans"/>
          <w:sz w:val="28"/>
          <w:szCs w:val="28"/>
        </w:rPr>
        <w:fldChar w:fldCharType="end"/>
      </w:r>
    </w:p>
    <w:p w:rsidR="003B3B72" w:rsidRDefault="003B3B72" w:rsidP="003B3B72">
      <w:pPr>
        <w:tabs>
          <w:tab w:val="right" w:leader="dot" w:pos="7200"/>
        </w:tabs>
        <w:autoSpaceDE w:val="0"/>
        <w:autoSpaceDN w:val="0"/>
        <w:adjustRightInd w:val="0"/>
        <w:spacing w:line="240" w:lineRule="auto"/>
        <w:ind w:left="2160"/>
        <w:rPr>
          <w:rFonts w:ascii="Century Schoolbook" w:hAnsi="Century Schoolbook" w:cs="GillSans"/>
          <w:sz w:val="28"/>
          <w:szCs w:val="28"/>
        </w:rPr>
      </w:pPr>
    </w:p>
    <w:p w:rsidR="000B0FAF" w:rsidRPr="00332520" w:rsidRDefault="000B0FAF" w:rsidP="00BE4997">
      <w:pPr>
        <w:pStyle w:val="IntenseQuote"/>
        <w:rPr>
          <w:rStyle w:val="IntenseEmphasis"/>
          <w:i/>
        </w:rPr>
      </w:pPr>
      <w:bookmarkStart w:id="0" w:name="_Overview"/>
      <w:bookmarkStart w:id="1" w:name="_Toc413397053"/>
      <w:bookmarkStart w:id="2" w:name="Overview"/>
      <w:bookmarkEnd w:id="0"/>
      <w:r w:rsidRPr="00332520">
        <w:rPr>
          <w:rStyle w:val="IntenseEmphasis"/>
          <w:i/>
        </w:rPr>
        <w:t>Overview</w:t>
      </w:r>
      <w:bookmarkEnd w:id="1"/>
    </w:p>
    <w:bookmarkEnd w:id="2"/>
    <w:p w:rsidR="003C7362" w:rsidRDefault="003C7362" w:rsidP="00DD72DA">
      <w:pPr>
        <w:pStyle w:val="rxeInstructionText"/>
        <w:spacing w:after="0"/>
      </w:pPr>
      <w:r w:rsidRPr="002D01FC">
        <w:t>P</w:t>
      </w:r>
      <w:r w:rsidR="00120652">
        <w:t>urchasing s</w:t>
      </w:r>
      <w:r w:rsidR="000B0FAF" w:rsidRPr="002D01FC">
        <w:t>martsheet</w:t>
      </w:r>
      <w:r w:rsidR="001146DB" w:rsidRPr="002D01FC">
        <w:t>s are used</w:t>
      </w:r>
      <w:r w:rsidR="000B0FAF" w:rsidRPr="002D01FC">
        <w:t xml:space="preserve"> for a</w:t>
      </w:r>
      <w:r w:rsidR="002D130D" w:rsidRPr="002D01FC">
        <w:t xml:space="preserve">ll </w:t>
      </w:r>
      <w:r w:rsidR="00DD72DA">
        <w:t>S</w:t>
      </w:r>
      <w:r w:rsidR="002D130D" w:rsidRPr="002D01FC">
        <w:t>R</w:t>
      </w:r>
      <w:r w:rsidR="000B0FAF" w:rsidRPr="002D01FC">
        <w:t>S r</w:t>
      </w:r>
      <w:r w:rsidR="002D130D" w:rsidRPr="002D01FC">
        <w:t>equests for purchase</w:t>
      </w:r>
      <w:r w:rsidR="000B0FAF" w:rsidRPr="002D01FC">
        <w:t>s</w:t>
      </w:r>
      <w:r w:rsidR="002D130D" w:rsidRPr="002D01FC">
        <w:t xml:space="preserve">, </w:t>
      </w:r>
      <w:r w:rsidR="000B0FAF" w:rsidRPr="002D01FC">
        <w:t>payments and</w:t>
      </w:r>
      <w:r w:rsidR="002D130D" w:rsidRPr="002D01FC">
        <w:t xml:space="preserve"> chargeback</w:t>
      </w:r>
      <w:r w:rsidR="000B0FAF" w:rsidRPr="002D01FC">
        <w:t>s.</w:t>
      </w:r>
      <w:r w:rsidR="001146DB" w:rsidRPr="002D01FC">
        <w:t xml:space="preserve"> </w:t>
      </w:r>
      <w:r w:rsidR="00120652">
        <w:t>New s</w:t>
      </w:r>
      <w:r w:rsidRPr="002D01FC">
        <w:t>martsheets are created each fiscal year.</w:t>
      </w:r>
      <w:r w:rsidR="002163DE" w:rsidRPr="002D01FC">
        <w:t xml:space="preserve"> </w:t>
      </w:r>
      <w:r w:rsidR="001146DB" w:rsidRPr="002D01FC">
        <w:t>T</w:t>
      </w:r>
      <w:r w:rsidR="000B0FAF" w:rsidRPr="002D01FC">
        <w:t>her</w:t>
      </w:r>
      <w:r w:rsidR="001146DB" w:rsidRPr="002D01FC">
        <w:t>e</w:t>
      </w:r>
      <w:r w:rsidR="000B0FAF" w:rsidRPr="002D01FC">
        <w:t xml:space="preserve"> is</w:t>
      </w:r>
      <w:r w:rsidR="001146DB" w:rsidRPr="002D01FC">
        <w:t xml:space="preserve"> </w:t>
      </w:r>
      <w:r w:rsidR="00DD72DA">
        <w:t>one</w:t>
      </w:r>
      <w:r w:rsidR="001146DB" w:rsidRPr="002D01FC">
        <w:t xml:space="preserve"> </w:t>
      </w:r>
      <w:r w:rsidR="00276B11">
        <w:t>s</w:t>
      </w:r>
      <w:r w:rsidR="002D130D" w:rsidRPr="002D01FC">
        <w:t xml:space="preserve">martsheet for </w:t>
      </w:r>
      <w:r w:rsidR="00DD72DA">
        <w:t>the entire unit.</w:t>
      </w:r>
    </w:p>
    <w:p w:rsidR="00DD72DA" w:rsidRPr="002D01FC" w:rsidRDefault="00DD72DA" w:rsidP="00DD72DA">
      <w:pPr>
        <w:pStyle w:val="rxeInstructionText"/>
        <w:spacing w:after="0"/>
      </w:pPr>
    </w:p>
    <w:p w:rsidR="002163DE" w:rsidRDefault="00D22AA5" w:rsidP="00C34B98">
      <w:pPr>
        <w:pStyle w:val="rxeInstructionText"/>
      </w:pPr>
      <w:r w:rsidRPr="002D01FC">
        <w:t>T</w:t>
      </w:r>
      <w:r w:rsidR="00120652">
        <w:t>he s</w:t>
      </w:r>
      <w:r w:rsidR="003C7362" w:rsidRPr="002D01FC">
        <w:t>martshe</w:t>
      </w:r>
      <w:r w:rsidRPr="002D01FC">
        <w:t xml:space="preserve">et </w:t>
      </w:r>
      <w:r w:rsidR="00276B11">
        <w:t>contain</w:t>
      </w:r>
      <w:r w:rsidR="00DD72DA">
        <w:t>s</w:t>
      </w:r>
      <w:r w:rsidRPr="002D01FC">
        <w:t xml:space="preserve"> conditional formatting</w:t>
      </w:r>
      <w:r w:rsidR="00276B11">
        <w:t xml:space="preserve"> that highlight</w:t>
      </w:r>
      <w:r w:rsidR="00DD72DA">
        <w:t>s</w:t>
      </w:r>
      <w:r w:rsidR="00276B11">
        <w:t xml:space="preserve"> required next actions</w:t>
      </w:r>
      <w:r w:rsidR="00DD72DA">
        <w:t>,</w:t>
      </w:r>
      <w:r w:rsidR="00276B11">
        <w:t xml:space="preserve"> if</w:t>
      </w:r>
      <w:r w:rsidRPr="002D01FC">
        <w:t xml:space="preserve"> requests are entered correctly</w:t>
      </w:r>
      <w:r w:rsidR="00276B11">
        <w:t>.</w:t>
      </w:r>
      <w:r w:rsidR="00A92055" w:rsidRPr="002D01FC">
        <w:t xml:space="preserve"> </w:t>
      </w:r>
      <w:r w:rsidR="002163DE" w:rsidRPr="002D01FC">
        <w:t>Failure to</w:t>
      </w:r>
      <w:r w:rsidR="00A92055" w:rsidRPr="002D01FC">
        <w:t xml:space="preserve"> enter all the required information will likely result in</w:t>
      </w:r>
      <w:r w:rsidR="00276B11">
        <w:t xml:space="preserve"> the requested action being </w:t>
      </w:r>
      <w:r w:rsidR="00AA52FA" w:rsidRPr="002D01FC">
        <w:t>delayed</w:t>
      </w:r>
      <w:r w:rsidR="002163DE" w:rsidRPr="002D01FC">
        <w:t xml:space="preserve">. </w:t>
      </w:r>
    </w:p>
    <w:p w:rsidR="00120652" w:rsidRDefault="00DD72DA" w:rsidP="00C34B98">
      <w:pPr>
        <w:pStyle w:val="rxeInstructionText"/>
      </w:pPr>
      <w:r>
        <w:t>S</w:t>
      </w:r>
      <w:r w:rsidR="00120652">
        <w:t>RS employees have different roles in the purchasing smartsheets:</w:t>
      </w:r>
    </w:p>
    <w:p w:rsidR="00120652" w:rsidRDefault="00C34B98" w:rsidP="00C34B98">
      <w:pPr>
        <w:pStyle w:val="rxeInstructionText"/>
      </w:pPr>
      <w:r>
        <w:tab/>
      </w:r>
      <w:r w:rsidR="00120652" w:rsidRPr="00C34B98">
        <w:rPr>
          <w:i/>
        </w:rPr>
        <w:t>Editors</w:t>
      </w:r>
      <w:r w:rsidR="00120652">
        <w:t xml:space="preserve"> can be either </w:t>
      </w:r>
      <w:r w:rsidR="00120652" w:rsidRPr="00C34B98">
        <w:rPr>
          <w:i/>
        </w:rPr>
        <w:t>Requesters</w:t>
      </w:r>
      <w:r w:rsidR="00120652">
        <w:t xml:space="preserve"> or </w:t>
      </w:r>
      <w:r w:rsidR="00120652" w:rsidRPr="00C34B98">
        <w:rPr>
          <w:i/>
        </w:rPr>
        <w:t>Approve</w:t>
      </w:r>
      <w:r>
        <w:rPr>
          <w:i/>
        </w:rPr>
        <w:t>r</w:t>
      </w:r>
      <w:r w:rsidR="00120652" w:rsidRPr="00C34B98">
        <w:rPr>
          <w:i/>
        </w:rPr>
        <w:t>s</w:t>
      </w:r>
      <w:r w:rsidR="00120652">
        <w:t xml:space="preserve"> (and sometimes both)</w:t>
      </w:r>
      <w:r>
        <w:t>.</w:t>
      </w:r>
    </w:p>
    <w:p w:rsidR="00120652" w:rsidRDefault="00C34B98" w:rsidP="00C34B98">
      <w:pPr>
        <w:pStyle w:val="rxeInstructionText"/>
      </w:pPr>
      <w:r>
        <w:tab/>
      </w:r>
      <w:r w:rsidR="00120652" w:rsidRPr="00276B11">
        <w:rPr>
          <w:i/>
        </w:rPr>
        <w:t>Administrators</w:t>
      </w:r>
      <w:r w:rsidR="00120652">
        <w:t xml:space="preserve"> are also </w:t>
      </w:r>
      <w:r w:rsidR="00120652" w:rsidRPr="00276B11">
        <w:rPr>
          <w:i/>
        </w:rPr>
        <w:t>Purchasers</w:t>
      </w:r>
      <w:r w:rsidR="00120652">
        <w:t>.</w:t>
      </w:r>
    </w:p>
    <w:p w:rsidR="003C7362" w:rsidRDefault="00120652" w:rsidP="00C34B98">
      <w:pPr>
        <w:pStyle w:val="rxeInstructionText"/>
      </w:pPr>
      <w:r>
        <w:t>Editors</w:t>
      </w:r>
      <w:r w:rsidR="006C3FE2" w:rsidRPr="002D01FC">
        <w:t xml:space="preserve"> can enter and edit </w:t>
      </w:r>
      <w:r w:rsidR="002D130D" w:rsidRPr="002D01FC">
        <w:t>the data in any field that</w:t>
      </w:r>
      <w:r w:rsidR="003C7362" w:rsidRPr="002D01FC">
        <w:t xml:space="preserve"> </w:t>
      </w:r>
      <w:r w:rsidR="006C3FE2" w:rsidRPr="002D01FC">
        <w:t xml:space="preserve">is not locked. </w:t>
      </w:r>
      <w:r w:rsidR="002163DE" w:rsidRPr="002D01FC">
        <w:t xml:space="preserve">The system records each entry/edit with a UserID/date/time stamp. Anyone can view this by right-clicking on the cell and selecting </w:t>
      </w:r>
      <w:r w:rsidR="00AA52FA" w:rsidRPr="00DD72DA">
        <w:rPr>
          <w:rFonts w:cs="Courier New"/>
          <w:i/>
        </w:rPr>
        <w:t>view</w:t>
      </w:r>
      <w:r w:rsidR="00AA52FA" w:rsidRPr="00DD72DA">
        <w:rPr>
          <w:i/>
        </w:rPr>
        <w:t xml:space="preserve"> </w:t>
      </w:r>
      <w:r w:rsidR="00DD72DA" w:rsidRPr="00DD72DA">
        <w:rPr>
          <w:i/>
        </w:rPr>
        <w:t xml:space="preserve">cell </w:t>
      </w:r>
      <w:r w:rsidR="00AA52FA" w:rsidRPr="00DD72DA">
        <w:rPr>
          <w:rFonts w:cs="Courier New"/>
          <w:i/>
        </w:rPr>
        <w:t>history</w:t>
      </w:r>
      <w:r w:rsidR="00961767" w:rsidRPr="002D01FC">
        <w:rPr>
          <w:rFonts w:cs="Courier New"/>
        </w:rPr>
        <w:t>.</w:t>
      </w:r>
      <w:r w:rsidR="002163DE" w:rsidRPr="002D01FC">
        <w:t xml:space="preserve"> </w:t>
      </w:r>
      <w:r w:rsidR="00C34B98">
        <w:t>Editors</w:t>
      </w:r>
      <w:r w:rsidR="003C7362" w:rsidRPr="002D01FC">
        <w:t xml:space="preserve"> cannot edit the overall format of the smartsheet. </w:t>
      </w:r>
    </w:p>
    <w:p w:rsidR="003C7362" w:rsidRDefault="00E0216F" w:rsidP="00C34B98">
      <w:pPr>
        <w:pStyle w:val="rxeInstructionText"/>
      </w:pPr>
      <w:r>
        <w:t>Appendix A lists the naming convention for attachments</w:t>
      </w:r>
      <w:r w:rsidR="003C7362" w:rsidRPr="002D01FC">
        <w:t>.</w:t>
      </w:r>
    </w:p>
    <w:p w:rsidR="00EC1417" w:rsidRPr="00304642" w:rsidRDefault="00E0216F" w:rsidP="003B3B72">
      <w:pPr>
        <w:pStyle w:val="rxeInstructionText"/>
        <w:rPr>
          <w:sz w:val="26"/>
        </w:rPr>
      </w:pPr>
      <w:r w:rsidRPr="002D01FC">
        <w:t xml:space="preserve">Appendix </w:t>
      </w:r>
      <w:r>
        <w:t>B</w:t>
      </w:r>
      <w:r w:rsidRPr="002D01FC">
        <w:t xml:space="preserve"> is a complete list of each field in the </w:t>
      </w:r>
      <w:r>
        <w:t>Smartsheet and how they should be used</w:t>
      </w:r>
      <w:r w:rsidRPr="002D01FC">
        <w:t>.</w:t>
      </w:r>
      <w:r w:rsidR="000A5687">
        <w:t xml:space="preserve"> This can be used as a quick reference</w:t>
      </w:r>
      <w:r w:rsidR="00120652">
        <w:t xml:space="preserve"> guide</w:t>
      </w:r>
      <w:r w:rsidR="000A5687">
        <w:t>.</w:t>
      </w:r>
      <w:r w:rsidR="003B3B72">
        <w:t xml:space="preserve"> </w:t>
      </w:r>
      <w:r w:rsidR="00EC1417" w:rsidRPr="00304642">
        <w:rPr>
          <w:sz w:val="26"/>
        </w:rPr>
        <w:br w:type="page"/>
      </w:r>
    </w:p>
    <w:p w:rsidR="002D130D" w:rsidRPr="00743244" w:rsidRDefault="002D130D" w:rsidP="00BE4997">
      <w:pPr>
        <w:pStyle w:val="IntenseQuote"/>
      </w:pPr>
      <w:bookmarkStart w:id="3" w:name="_To_request_a"/>
      <w:bookmarkStart w:id="4" w:name="_Toc413397054"/>
      <w:bookmarkStart w:id="5" w:name="PurchaseRequest"/>
      <w:bookmarkEnd w:id="3"/>
      <w:r w:rsidRPr="00743244">
        <w:lastRenderedPageBreak/>
        <w:t xml:space="preserve">To </w:t>
      </w:r>
      <w:r w:rsidR="0072127B">
        <w:t>R</w:t>
      </w:r>
      <w:r w:rsidRPr="00743244">
        <w:t xml:space="preserve">equest a </w:t>
      </w:r>
      <w:r w:rsidR="0072127B">
        <w:t>P</w:t>
      </w:r>
      <w:r w:rsidR="00F331E0">
        <w:t>urchase</w:t>
      </w:r>
      <w:bookmarkEnd w:id="4"/>
    </w:p>
    <w:bookmarkEnd w:id="5"/>
    <w:p w:rsidR="00F73E1F" w:rsidRPr="00F73E1F" w:rsidRDefault="00F73E1F" w:rsidP="002D0B3A">
      <w:pPr>
        <w:pStyle w:val="Subtitle"/>
        <w:rPr>
          <w:color w:val="auto"/>
        </w:rPr>
      </w:pPr>
      <w:r>
        <w:rPr>
          <w:noProof/>
        </w:rPr>
        <w:drawing>
          <wp:inline distT="0" distB="0" distL="0" distR="0" wp14:anchorId="0DDA330B" wp14:editId="06E4D264">
            <wp:extent cx="5943600" cy="401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9D5" w:rsidRPr="00187215" w:rsidRDefault="001169D5" w:rsidP="002D0B3A">
      <w:pPr>
        <w:pStyle w:val="Subtitle"/>
      </w:pPr>
      <w:r w:rsidRPr="00187215">
        <w:t>[</w:t>
      </w:r>
      <w:r w:rsidR="007434D4">
        <w:t>Group</w:t>
      </w:r>
      <w:r w:rsidRPr="00187215">
        <w:t>]</w:t>
      </w:r>
    </w:p>
    <w:p w:rsidR="002D130D" w:rsidRDefault="002D130D" w:rsidP="00C34B98">
      <w:pPr>
        <w:pStyle w:val="rxeInstructionText"/>
      </w:pPr>
      <w:r w:rsidRPr="00304642">
        <w:t xml:space="preserve">The first column is </w:t>
      </w:r>
      <w:r w:rsidR="007434D4">
        <w:t>for administrator use only to group items if necessary.</w:t>
      </w:r>
    </w:p>
    <w:p w:rsidR="007434D4" w:rsidRPr="00187215" w:rsidRDefault="007434D4" w:rsidP="007434D4">
      <w:pPr>
        <w:pStyle w:val="Subtitle"/>
      </w:pPr>
      <w:r w:rsidRPr="00187215">
        <w:t>[</w:t>
      </w:r>
      <w:r>
        <w:t>Row</w:t>
      </w:r>
      <w:r w:rsidRPr="00187215">
        <w:t>-</w:t>
      </w:r>
      <w:r>
        <w:t>ID</w:t>
      </w:r>
      <w:r w:rsidRPr="00187215">
        <w:t>]</w:t>
      </w:r>
    </w:p>
    <w:p w:rsidR="007434D4" w:rsidRDefault="007434D4" w:rsidP="00C34B98">
      <w:pPr>
        <w:pStyle w:val="rxeInstructionText"/>
      </w:pPr>
      <w:r>
        <w:t>This</w:t>
      </w:r>
      <w:r w:rsidRPr="00304642">
        <w:t xml:space="preserve"> </w:t>
      </w:r>
      <w:r w:rsidR="00AC59CC">
        <w:t xml:space="preserve">column </w:t>
      </w:r>
      <w:r w:rsidRPr="00304642">
        <w:t xml:space="preserve">is an auto number; it is sequentially assigned by the system. Users cannot edit it. It will never change. It is a </w:t>
      </w:r>
      <w:r w:rsidR="00AC59CC">
        <w:t>reliable</w:t>
      </w:r>
      <w:r w:rsidRPr="00304642">
        <w:t xml:space="preserve"> way to </w:t>
      </w:r>
      <w:r w:rsidR="00AC59CC">
        <w:t>refer to</w:t>
      </w:r>
      <w:r w:rsidRPr="00304642">
        <w:t xml:space="preserve"> a specific item.</w:t>
      </w:r>
    </w:p>
    <w:p w:rsidR="00DD72DA" w:rsidRPr="00187215" w:rsidRDefault="00DD72DA" w:rsidP="00DD72DA">
      <w:pPr>
        <w:pStyle w:val="Subtitle"/>
      </w:pPr>
      <w:r w:rsidRPr="00187215">
        <w:t>[</w:t>
      </w:r>
      <w:r>
        <w:t>Unit</w:t>
      </w:r>
      <w:r w:rsidRPr="00187215">
        <w:t>]</w:t>
      </w:r>
    </w:p>
    <w:p w:rsidR="00DD72DA" w:rsidRPr="00304642" w:rsidRDefault="00DD72DA" w:rsidP="00DD72DA">
      <w:pPr>
        <w:pStyle w:val="rxeInstructionText"/>
      </w:pPr>
      <w:r>
        <w:t>This is a drop-down f</w:t>
      </w:r>
      <w:r w:rsidR="00D97199">
        <w:t xml:space="preserve">ield </w:t>
      </w:r>
      <w:r>
        <w:t>identif</w:t>
      </w:r>
      <w:r w:rsidR="007648F9">
        <w:t>y</w:t>
      </w:r>
      <w:r w:rsidR="00D97199">
        <w:t>ing</w:t>
      </w:r>
      <w:r>
        <w:t xml:space="preserve"> which office is making the request</w:t>
      </w:r>
      <w:r w:rsidRPr="00304642">
        <w:t>.</w:t>
      </w:r>
    </w:p>
    <w:p w:rsidR="001169D5" w:rsidRPr="00743244" w:rsidRDefault="001169D5" w:rsidP="002D0B3A">
      <w:pPr>
        <w:pStyle w:val="Subtitle"/>
      </w:pPr>
      <w:r>
        <w:t>[Requester]</w:t>
      </w:r>
    </w:p>
    <w:p w:rsidR="002D130D" w:rsidRPr="00304642" w:rsidRDefault="002D130D" w:rsidP="00C34B98">
      <w:pPr>
        <w:pStyle w:val="rxeInstructionText"/>
      </w:pPr>
      <w:r w:rsidRPr="00304642">
        <w:t xml:space="preserve">Enter your name; </w:t>
      </w:r>
      <w:r w:rsidR="00F73E1F" w:rsidRPr="00304642">
        <w:t xml:space="preserve">or </w:t>
      </w:r>
      <w:r w:rsidRPr="00304642">
        <w:t xml:space="preserve">select from the drop down list. (If you are </w:t>
      </w:r>
      <w:r w:rsidR="006C3FE2" w:rsidRPr="00304642">
        <w:t xml:space="preserve">merely </w:t>
      </w:r>
      <w:r w:rsidRPr="00304642">
        <w:t>entering the data for</w:t>
      </w:r>
      <w:r w:rsidR="006C3FE2" w:rsidRPr="00304642">
        <w:t xml:space="preserve"> </w:t>
      </w:r>
      <w:r w:rsidRPr="00304642">
        <w:t>another person, fill</w:t>
      </w:r>
      <w:r w:rsidR="006C3FE2" w:rsidRPr="00304642">
        <w:t>-</w:t>
      </w:r>
      <w:r w:rsidRPr="00304642">
        <w:t xml:space="preserve">in </w:t>
      </w:r>
      <w:r w:rsidR="00A92055" w:rsidRPr="00304642">
        <w:t>the tru</w:t>
      </w:r>
      <w:r w:rsidR="00A643F8" w:rsidRPr="00304642">
        <w:t>e R</w:t>
      </w:r>
      <w:r w:rsidR="00A92055" w:rsidRPr="00304642">
        <w:t>equester’s</w:t>
      </w:r>
      <w:r w:rsidRPr="00304642">
        <w:t xml:space="preserve"> name.)</w:t>
      </w:r>
    </w:p>
    <w:p w:rsidR="001169D5" w:rsidRDefault="001169D5" w:rsidP="002D0B3A">
      <w:pPr>
        <w:pStyle w:val="Subtitle"/>
      </w:pPr>
      <w:r>
        <w:t>[Request Date]</w:t>
      </w:r>
    </w:p>
    <w:p w:rsidR="002163DE" w:rsidRPr="00304642" w:rsidRDefault="002D130D" w:rsidP="00C34B98">
      <w:pPr>
        <w:pStyle w:val="rxeInstructionText"/>
      </w:pPr>
      <w:r w:rsidRPr="00304642">
        <w:t>Fill</w:t>
      </w:r>
      <w:r w:rsidR="006C3FE2" w:rsidRPr="00304642">
        <w:t>-</w:t>
      </w:r>
      <w:r w:rsidRPr="00304642">
        <w:t>in the da</w:t>
      </w:r>
      <w:r w:rsidR="00F61537" w:rsidRPr="00304642">
        <w:t>te you are entering the request</w:t>
      </w:r>
      <w:r w:rsidRPr="00304642">
        <w:t xml:space="preserve">. </w:t>
      </w:r>
    </w:p>
    <w:p w:rsidR="002D130D" w:rsidRPr="00304642" w:rsidRDefault="002D130D" w:rsidP="00C34B98">
      <w:pPr>
        <w:pStyle w:val="rxeInstructionText"/>
      </w:pPr>
      <w:r w:rsidRPr="00304642">
        <w:rPr>
          <w:i/>
        </w:rPr>
        <w:t>Shortcut</w:t>
      </w:r>
      <w:r w:rsidR="00797F8C" w:rsidRPr="00304642">
        <w:rPr>
          <w:i/>
        </w:rPr>
        <w:t>s</w:t>
      </w:r>
      <w:r w:rsidRPr="00304642">
        <w:t>:</w:t>
      </w:r>
      <w:r w:rsidR="00261541" w:rsidRPr="00304642">
        <w:t xml:space="preserve">  Just type “</w:t>
      </w:r>
      <w:r w:rsidR="0057059D" w:rsidRPr="00304642">
        <w:t>t</w:t>
      </w:r>
      <w:r w:rsidR="00261541" w:rsidRPr="00304642">
        <w:t xml:space="preserve">” and smartsheet will enter the </w:t>
      </w:r>
      <w:r w:rsidR="00A92055" w:rsidRPr="00304642">
        <w:t xml:space="preserve">current </w:t>
      </w:r>
      <w:r w:rsidR="0057059D" w:rsidRPr="00304642">
        <w:t>date</w:t>
      </w:r>
      <w:r w:rsidR="00261541" w:rsidRPr="00304642">
        <w:t xml:space="preserve">, </w:t>
      </w:r>
      <w:r w:rsidR="00A92055" w:rsidRPr="00304642">
        <w:t xml:space="preserve">or </w:t>
      </w:r>
      <w:r w:rsidR="00261541" w:rsidRPr="00304642">
        <w:t>type</w:t>
      </w:r>
      <w:r w:rsidRPr="00304642">
        <w:t xml:space="preserve"> the date and </w:t>
      </w:r>
      <w:r w:rsidR="00F61537" w:rsidRPr="00304642">
        <w:t>smartsheet</w:t>
      </w:r>
      <w:r w:rsidRPr="00304642">
        <w:t xml:space="preserve"> will </w:t>
      </w:r>
      <w:r w:rsidR="0057059D" w:rsidRPr="00304642">
        <w:t>assume</w:t>
      </w:r>
      <w:r w:rsidRPr="00304642">
        <w:t xml:space="preserve"> the current month and year</w:t>
      </w:r>
      <w:r w:rsidR="002163DE" w:rsidRPr="00304642">
        <w:t xml:space="preserve"> for you</w:t>
      </w:r>
      <w:r w:rsidRPr="00304642">
        <w:t>.</w:t>
      </w:r>
    </w:p>
    <w:p w:rsidR="00F61537" w:rsidRPr="00743244" w:rsidRDefault="00F61537" w:rsidP="002D0B3A">
      <w:pPr>
        <w:pStyle w:val="Subtitle"/>
      </w:pPr>
      <w:r>
        <w:t>[Approval Status]</w:t>
      </w:r>
    </w:p>
    <w:p w:rsidR="002D130D" w:rsidRDefault="006C3FE2" w:rsidP="00C34B98">
      <w:pPr>
        <w:pStyle w:val="rxeInstructionText"/>
      </w:pPr>
      <w:r w:rsidRPr="00304642">
        <w:t>Select the drop-</w:t>
      </w:r>
      <w:r w:rsidR="002D130D" w:rsidRPr="00304642">
        <w:t xml:space="preserve">down status of </w:t>
      </w:r>
      <w:r w:rsidR="002D130D" w:rsidRPr="00D97199">
        <w:rPr>
          <w:rFonts w:ascii="Courier New" w:hAnsi="Courier New" w:cs="Courier New"/>
          <w:b/>
          <w:color w:val="0000FF"/>
        </w:rPr>
        <w:t>requested</w:t>
      </w:r>
      <w:r w:rsidR="002D130D" w:rsidRPr="00304642">
        <w:t>. This will turn the cell red indicating</w:t>
      </w:r>
      <w:r w:rsidRPr="00304642">
        <w:t xml:space="preserve"> </w:t>
      </w:r>
      <w:r w:rsidR="002D130D" w:rsidRPr="00304642">
        <w:t xml:space="preserve">that an action is required by </w:t>
      </w:r>
      <w:r w:rsidR="00A643F8" w:rsidRPr="00304642">
        <w:t>the A</w:t>
      </w:r>
      <w:r w:rsidR="00F61537" w:rsidRPr="00304642">
        <w:t>pprover</w:t>
      </w:r>
      <w:r w:rsidR="002D130D" w:rsidRPr="00304642">
        <w:t>, and will automatically put the</w:t>
      </w:r>
      <w:r w:rsidRPr="00304642">
        <w:t xml:space="preserve"> </w:t>
      </w:r>
      <w:r w:rsidR="002163DE" w:rsidRPr="00304642">
        <w:t>request on the O</w:t>
      </w:r>
      <w:r w:rsidR="002D130D" w:rsidRPr="00304642">
        <w:t xml:space="preserve">pen </w:t>
      </w:r>
      <w:r w:rsidR="00F331E0" w:rsidRPr="00304642">
        <w:t>Items</w:t>
      </w:r>
      <w:r w:rsidR="00F61537" w:rsidRPr="00304642">
        <w:t xml:space="preserve"> </w:t>
      </w:r>
      <w:r w:rsidR="002163DE" w:rsidRPr="00304642">
        <w:t>R</w:t>
      </w:r>
      <w:r w:rsidR="0057059D" w:rsidRPr="00304642">
        <w:t>eport for the A</w:t>
      </w:r>
      <w:r w:rsidR="00F61537" w:rsidRPr="00304642">
        <w:t>pprover</w:t>
      </w:r>
      <w:r w:rsidR="002D130D" w:rsidRPr="00304642">
        <w:t xml:space="preserve">. Failure to </w:t>
      </w:r>
      <w:r w:rsidR="00F61537" w:rsidRPr="00304642">
        <w:t>select</w:t>
      </w:r>
      <w:r w:rsidR="002D130D" w:rsidRPr="00304642">
        <w:t xml:space="preserve"> the</w:t>
      </w:r>
      <w:r w:rsidRPr="00304642">
        <w:t xml:space="preserve"> </w:t>
      </w:r>
      <w:r w:rsidR="00AA52FA" w:rsidRPr="00D97199">
        <w:rPr>
          <w:rFonts w:ascii="Courier New" w:hAnsi="Courier New" w:cs="Courier New"/>
          <w:b/>
          <w:color w:val="0000FF"/>
        </w:rPr>
        <w:t>requested</w:t>
      </w:r>
      <w:r w:rsidR="002D130D" w:rsidRPr="00C1269B">
        <w:rPr>
          <w:color w:val="0000FF"/>
        </w:rPr>
        <w:t xml:space="preserve"> </w:t>
      </w:r>
      <w:r w:rsidR="002D130D" w:rsidRPr="00304642">
        <w:t xml:space="preserve">status will </w:t>
      </w:r>
      <w:r w:rsidR="002163DE" w:rsidRPr="00304642">
        <w:t xml:space="preserve">likely </w:t>
      </w:r>
      <w:r w:rsidR="002D130D" w:rsidRPr="00304642">
        <w:t>re</w:t>
      </w:r>
      <w:r w:rsidR="00D97199">
        <w:t>sult in your request being over l</w:t>
      </w:r>
      <w:r w:rsidR="002D130D" w:rsidRPr="00304642">
        <w:t>ooked.</w:t>
      </w:r>
    </w:p>
    <w:p w:rsidR="00B75DFE" w:rsidRDefault="00B75DFE" w:rsidP="00C34B98">
      <w:pPr>
        <w:pStyle w:val="rxeInstructionText"/>
      </w:pPr>
      <w:r w:rsidRPr="00304642">
        <w:t>If later you decide to cance</w:t>
      </w:r>
      <w:r w:rsidR="00AA52FA" w:rsidRPr="00304642">
        <w:t xml:space="preserve">l the purchase request, select </w:t>
      </w:r>
      <w:r w:rsidRPr="00D97199">
        <w:rPr>
          <w:rFonts w:ascii="Courier New" w:hAnsi="Courier New" w:cs="Courier New"/>
          <w:b/>
          <w:color w:val="0000FF"/>
        </w:rPr>
        <w:t>cancelled</w:t>
      </w:r>
      <w:r w:rsidRPr="00304642">
        <w:t>. This will strike-through the entire row.</w:t>
      </w:r>
    </w:p>
    <w:p w:rsidR="00B75DFE" w:rsidRPr="00304642" w:rsidRDefault="00F331E0" w:rsidP="00C34B98">
      <w:pPr>
        <w:pStyle w:val="rxeInstructionText"/>
      </w:pPr>
      <w:r w:rsidRPr="00304642">
        <w:t>The</w:t>
      </w:r>
      <w:r w:rsidR="00B75DFE" w:rsidRPr="00304642">
        <w:t xml:space="preserve"> Approver </w:t>
      </w:r>
      <w:r w:rsidR="00AA52FA" w:rsidRPr="00304642">
        <w:t xml:space="preserve">will need to set the </w:t>
      </w:r>
      <w:r w:rsidR="002D3F10" w:rsidRPr="00304642">
        <w:rPr>
          <w:i/>
        </w:rPr>
        <w:t>Approval S</w:t>
      </w:r>
      <w:r w:rsidR="00AA52FA" w:rsidRPr="00304642">
        <w:rPr>
          <w:i/>
        </w:rPr>
        <w:t>tatus</w:t>
      </w:r>
      <w:r w:rsidR="00AA52FA" w:rsidRPr="00304642">
        <w:t xml:space="preserve"> to </w:t>
      </w:r>
      <w:r w:rsidR="00B75DFE" w:rsidRPr="00D97199">
        <w:rPr>
          <w:rFonts w:ascii="Courier New" w:hAnsi="Courier New" w:cs="Courier New"/>
          <w:b/>
          <w:color w:val="0000FF"/>
        </w:rPr>
        <w:t>approved</w:t>
      </w:r>
      <w:r w:rsidR="00B75DFE" w:rsidRPr="00C1269B">
        <w:rPr>
          <w:color w:val="0000FF"/>
        </w:rPr>
        <w:t xml:space="preserve"> </w:t>
      </w:r>
      <w:r w:rsidR="00B75DFE" w:rsidRPr="00304642">
        <w:t>before the purchase can be made.</w:t>
      </w:r>
      <w:r w:rsidR="002B0B95" w:rsidRPr="00304642">
        <w:t xml:space="preserve"> </w:t>
      </w:r>
      <w:r w:rsidRPr="00304642">
        <w:t xml:space="preserve">This will turn the </w:t>
      </w:r>
      <w:r w:rsidRPr="00304642">
        <w:rPr>
          <w:i/>
        </w:rPr>
        <w:t>Order Placed Date</w:t>
      </w:r>
      <w:r w:rsidR="0057059D" w:rsidRPr="00304642">
        <w:t xml:space="preserve"> </w:t>
      </w:r>
      <w:r w:rsidRPr="00304642">
        <w:t>cell red</w:t>
      </w:r>
      <w:r w:rsidR="0057059D" w:rsidRPr="00304642">
        <w:t xml:space="preserve"> indicating an action is required</w:t>
      </w:r>
      <w:r w:rsidRPr="00304642">
        <w:t xml:space="preserve">, and add it to the Open Items Report. </w:t>
      </w:r>
      <w:r w:rsidR="002B0B95" w:rsidRPr="00304642">
        <w:t>The User ID/date/time stamp will be checked prior to the order being placed.</w:t>
      </w:r>
    </w:p>
    <w:p w:rsidR="00F61537" w:rsidRPr="00743244" w:rsidRDefault="00F61537" w:rsidP="002D0B3A">
      <w:pPr>
        <w:pStyle w:val="Subtitle"/>
      </w:pPr>
      <w:r>
        <w:t>[Approver]</w:t>
      </w:r>
    </w:p>
    <w:p w:rsidR="00F61537" w:rsidRPr="00304642" w:rsidRDefault="00F61537" w:rsidP="00C34B98">
      <w:pPr>
        <w:pStyle w:val="rxeInstructionText"/>
      </w:pPr>
      <w:r w:rsidRPr="00304642">
        <w:t>Enter the name, from the drop down list, of the person who has responsibility</w:t>
      </w:r>
      <w:r w:rsidR="00802FE7" w:rsidRPr="00304642">
        <w:t xml:space="preserve"> for the index that will pay for the purchase</w:t>
      </w:r>
      <w:r w:rsidRPr="00304642">
        <w:t>.</w:t>
      </w:r>
    </w:p>
    <w:p w:rsidR="00F61537" w:rsidRPr="00743244" w:rsidRDefault="00F61537" w:rsidP="002D0B3A">
      <w:pPr>
        <w:pStyle w:val="Subtitle"/>
      </w:pPr>
      <w:r>
        <w:t>[Index]</w:t>
      </w:r>
    </w:p>
    <w:p w:rsidR="00EC1417" w:rsidRDefault="00F61537" w:rsidP="00C34B98">
      <w:pPr>
        <w:pStyle w:val="rxeInstructionText"/>
      </w:pPr>
      <w:r w:rsidRPr="00304642">
        <w:t xml:space="preserve">Select the “index” </w:t>
      </w:r>
      <w:r w:rsidR="002163DE" w:rsidRPr="00304642">
        <w:t xml:space="preserve">to which the cost should be charged </w:t>
      </w:r>
      <w:r w:rsidR="00DD72DA">
        <w:t>from the drop-down list of all S</w:t>
      </w:r>
      <w:r w:rsidR="002163DE" w:rsidRPr="00304642">
        <w:t xml:space="preserve">RS indexes. When appropriate, </w:t>
      </w:r>
      <w:r w:rsidR="00DD72DA">
        <w:t>non-S</w:t>
      </w:r>
      <w:r w:rsidR="008C448E">
        <w:t xml:space="preserve">RS </w:t>
      </w:r>
      <w:r w:rsidR="002163DE" w:rsidRPr="00304642">
        <w:t>indexes and/or activity codes may be entered; they will display in</w:t>
      </w:r>
      <w:r w:rsidR="002163DE" w:rsidRPr="00194433">
        <w:t xml:space="preserve"> red typeface</w:t>
      </w:r>
      <w:r w:rsidR="00135810" w:rsidRPr="00194433">
        <w:t>,</w:t>
      </w:r>
      <w:r w:rsidR="00135810" w:rsidRPr="00304642">
        <w:t xml:space="preserve"> this is okay.</w:t>
      </w:r>
    </w:p>
    <w:p w:rsidR="00802FE7" w:rsidRPr="00743244" w:rsidRDefault="00802FE7" w:rsidP="002D0B3A">
      <w:pPr>
        <w:pStyle w:val="Subtitle"/>
      </w:pPr>
      <w:r>
        <w:lastRenderedPageBreak/>
        <w:t>[Vendor]</w:t>
      </w:r>
    </w:p>
    <w:p w:rsidR="00A0015A" w:rsidRDefault="00802FE7" w:rsidP="00C34B98">
      <w:pPr>
        <w:pStyle w:val="rxeInstructionText"/>
      </w:pPr>
      <w:r w:rsidRPr="00304642">
        <w:t>Enter the name</w:t>
      </w:r>
      <w:r w:rsidR="0072127B" w:rsidRPr="00304642">
        <w:t xml:space="preserve"> of the vendor </w:t>
      </w:r>
      <w:r w:rsidR="0057059D" w:rsidRPr="00304642">
        <w:t>with</w:t>
      </w:r>
      <w:r w:rsidR="0072127B" w:rsidRPr="00304642">
        <w:t xml:space="preserve"> whom the purchase should be </w:t>
      </w:r>
      <w:r w:rsidR="0057059D" w:rsidRPr="00304642">
        <w:t>placed</w:t>
      </w:r>
      <w:r w:rsidR="0072127B" w:rsidRPr="00304642">
        <w:t>.</w:t>
      </w:r>
    </w:p>
    <w:p w:rsidR="00802FE7" w:rsidRPr="00743244" w:rsidRDefault="00802FE7" w:rsidP="002D0B3A">
      <w:pPr>
        <w:pStyle w:val="Subtitle"/>
      </w:pPr>
      <w:r>
        <w:t>[Item Description]</w:t>
      </w:r>
    </w:p>
    <w:p w:rsidR="00802FE7" w:rsidRPr="00304642" w:rsidRDefault="00FE670D" w:rsidP="00C34B98">
      <w:pPr>
        <w:pStyle w:val="rxeInstructionText"/>
      </w:pPr>
      <w:r w:rsidRPr="00304642">
        <w:t xml:space="preserve">Enter </w:t>
      </w:r>
      <w:r w:rsidR="009C32E3" w:rsidRPr="00304642">
        <w:t>item name and any additional</w:t>
      </w:r>
      <w:r w:rsidRPr="00304642">
        <w:t xml:space="preserve"> detail </w:t>
      </w:r>
      <w:r w:rsidR="00254E74">
        <w:t xml:space="preserve">(such as vendor part number) </w:t>
      </w:r>
      <w:r w:rsidR="009C32E3" w:rsidRPr="00304642">
        <w:t xml:space="preserve">necessary </w:t>
      </w:r>
      <w:r w:rsidRPr="00304642">
        <w:t>to enable</w:t>
      </w:r>
      <w:r w:rsidR="00A643F8" w:rsidRPr="00304642">
        <w:t xml:space="preserve"> the P</w:t>
      </w:r>
      <w:r w:rsidRPr="00304642">
        <w:t xml:space="preserve">urchaser to purchase the correct item. Additional information or web links can be added to the </w:t>
      </w:r>
      <w:r w:rsidR="0057059D" w:rsidRPr="00304642">
        <w:rPr>
          <w:i/>
        </w:rPr>
        <w:t>Comments</w:t>
      </w:r>
      <w:r w:rsidRPr="00304642">
        <w:t xml:space="preserve"> </w:t>
      </w:r>
      <w:r w:rsidR="0057059D" w:rsidRPr="00304642">
        <w:t>(dialogue bubble</w:t>
      </w:r>
      <w:r w:rsidR="00C1269B">
        <w:t xml:space="preserve"> icon</w:t>
      </w:r>
      <w:r w:rsidR="0057059D" w:rsidRPr="00304642">
        <w:t xml:space="preserve">) </w:t>
      </w:r>
      <w:r w:rsidR="009C32E3" w:rsidRPr="00304642">
        <w:t>column</w:t>
      </w:r>
      <w:r w:rsidRPr="00304642">
        <w:t>.</w:t>
      </w:r>
      <w:r w:rsidR="00E922AE" w:rsidRPr="00304642">
        <w:t xml:space="preserve"> Or any relevant </w:t>
      </w:r>
      <w:r w:rsidR="005B3828">
        <w:t>documents</w:t>
      </w:r>
      <w:r w:rsidR="00E922AE" w:rsidRPr="00304642">
        <w:t xml:space="preserve"> may be added to the row in the </w:t>
      </w:r>
      <w:r w:rsidR="0057059D" w:rsidRPr="00304642">
        <w:rPr>
          <w:i/>
        </w:rPr>
        <w:t>Attachment</w:t>
      </w:r>
      <w:r w:rsidR="00E922AE" w:rsidRPr="00304642">
        <w:t xml:space="preserve"> (paperclip</w:t>
      </w:r>
      <w:r w:rsidR="00C1269B">
        <w:t xml:space="preserve"> icon</w:t>
      </w:r>
      <w:r w:rsidR="00E922AE" w:rsidRPr="00304642">
        <w:t>) column.</w:t>
      </w:r>
      <w:r w:rsidR="00F32A41" w:rsidRPr="00304642">
        <w:t xml:space="preserve"> </w:t>
      </w:r>
    </w:p>
    <w:p w:rsidR="00F32A41" w:rsidRDefault="00F32A41" w:rsidP="00254E74">
      <w:pPr>
        <w:pStyle w:val="rxeInstructionTex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67EBF2" wp14:editId="14D35D70">
            <wp:extent cx="2781300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2E3" w:rsidRPr="00304642" w:rsidRDefault="009C32E3" w:rsidP="00C34B98">
      <w:pPr>
        <w:pStyle w:val="rxeInstructionText"/>
      </w:pPr>
      <w:r w:rsidRPr="00304642">
        <w:rPr>
          <w:i/>
        </w:rPr>
        <w:t>Suggestion</w:t>
      </w:r>
      <w:r w:rsidRPr="00304642">
        <w:t xml:space="preserve">:  If you expect to charge-back the item to another department, </w:t>
      </w:r>
      <w:r w:rsidR="00AA52FA" w:rsidRPr="00304642">
        <w:t>consider</w:t>
      </w:r>
      <w:r w:rsidRPr="00304642">
        <w:t xml:space="preserve"> enter</w:t>
      </w:r>
      <w:r w:rsidR="00AA52FA" w:rsidRPr="00304642">
        <w:t>ing</w:t>
      </w:r>
      <w:r w:rsidRPr="00304642">
        <w:t xml:space="preserve"> “Charge-back of  …” in the next row</w:t>
      </w:r>
      <w:r w:rsidR="00AA52FA" w:rsidRPr="00304642">
        <w:t xml:space="preserve"> at this time</w:t>
      </w:r>
      <w:r w:rsidRPr="00304642">
        <w:t>.</w:t>
      </w:r>
    </w:p>
    <w:p w:rsidR="00CF25F4" w:rsidRPr="00743244" w:rsidRDefault="00CF25F4" w:rsidP="00254E74">
      <w:pPr>
        <w:pStyle w:val="rxeInstructionTex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B43FD9" wp14:editId="1D02171D">
            <wp:extent cx="3790950" cy="983130"/>
            <wp:effectExtent l="19050" t="19050" r="1905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83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7199" w:rsidRPr="00743244" w:rsidRDefault="00D97199" w:rsidP="00D97199">
      <w:pPr>
        <w:pStyle w:val="Subtitle"/>
      </w:pPr>
      <w:r>
        <w:t>[Pcard]</w:t>
      </w:r>
    </w:p>
    <w:p w:rsidR="002F64A7" w:rsidRPr="00304642" w:rsidRDefault="002F64A7" w:rsidP="002F64A7">
      <w:pPr>
        <w:pStyle w:val="rxeInstructionText"/>
      </w:pPr>
      <w:r w:rsidRPr="00304642">
        <w:t xml:space="preserve">If the Purchaser determines that the </w:t>
      </w:r>
      <w:r>
        <w:t>invoice</w:t>
      </w:r>
      <w:r w:rsidRPr="00304642">
        <w:t xml:space="preserve"> should be </w:t>
      </w:r>
      <w:r>
        <w:t>paid for with a Pcard</w:t>
      </w:r>
      <w:r w:rsidRPr="00304642">
        <w:t>, this check-box will be checked.</w:t>
      </w:r>
    </w:p>
    <w:p w:rsidR="008B6689" w:rsidRPr="00743244" w:rsidRDefault="008B6689" w:rsidP="008B6689">
      <w:pPr>
        <w:pStyle w:val="Subtitle"/>
      </w:pPr>
      <w:r>
        <w:t>[Qty]</w:t>
      </w:r>
    </w:p>
    <w:p w:rsidR="008B6689" w:rsidRPr="00304642" w:rsidRDefault="008B6689" w:rsidP="008B6689">
      <w:pPr>
        <w:pStyle w:val="rxeInstructionText"/>
      </w:pPr>
      <w:r w:rsidRPr="00304642">
        <w:t>Enter the quantity of the item, if appropriate.</w:t>
      </w:r>
    </w:p>
    <w:p w:rsidR="008B6689" w:rsidRPr="00743244" w:rsidRDefault="008B6689" w:rsidP="008B6689">
      <w:pPr>
        <w:pStyle w:val="Subtitle"/>
      </w:pPr>
      <w:r>
        <w:t>[Total Price]</w:t>
      </w:r>
    </w:p>
    <w:p w:rsidR="008B6689" w:rsidRPr="00304642" w:rsidRDefault="008B6689" w:rsidP="008B6689">
      <w:pPr>
        <w:pStyle w:val="rxeInstructionText"/>
      </w:pPr>
      <w:r w:rsidRPr="00304642">
        <w:t xml:space="preserve">Enter the total cost of the item. Typically [unit price] x [qty], but may vary from this formula if there are additional costs, such as shipping. Do not enter the dollar sign, </w:t>
      </w:r>
      <w:r>
        <w:t xml:space="preserve">the </w:t>
      </w:r>
      <w:r w:rsidRPr="00304642">
        <w:t>cell is pre-formatted to display as dollars and cents.</w:t>
      </w:r>
    </w:p>
    <w:p w:rsidR="00802FE7" w:rsidRPr="00743244" w:rsidRDefault="00802FE7" w:rsidP="008B6689">
      <w:pPr>
        <w:pStyle w:val="Subtitle"/>
      </w:pPr>
      <w:r>
        <w:t>[Unit Price]</w:t>
      </w:r>
    </w:p>
    <w:p w:rsidR="00802FE7" w:rsidRPr="00304642" w:rsidRDefault="00802FE7" w:rsidP="00C34B98">
      <w:pPr>
        <w:pStyle w:val="rxeInstructionText"/>
      </w:pPr>
      <w:r w:rsidRPr="00304642">
        <w:t xml:space="preserve">Enter the </w:t>
      </w:r>
      <w:r w:rsidR="00FE670D" w:rsidRPr="00304642">
        <w:t xml:space="preserve">unit price of the item, </w:t>
      </w:r>
      <w:r w:rsidR="00E92F1C" w:rsidRPr="00304642">
        <w:t>if appropriate</w:t>
      </w:r>
      <w:r w:rsidRPr="00304642">
        <w:t>.</w:t>
      </w:r>
      <w:r w:rsidR="00304642" w:rsidRPr="00304642">
        <w:t xml:space="preserve"> Do not enter the dollar sign, </w:t>
      </w:r>
      <w:r w:rsidR="00961767">
        <w:t xml:space="preserve">the </w:t>
      </w:r>
      <w:r w:rsidR="00304642" w:rsidRPr="00304642">
        <w:t>cell is pre-formatted to display as dollars and cents.</w:t>
      </w:r>
    </w:p>
    <w:p w:rsidR="0054095A" w:rsidRPr="0054095A" w:rsidRDefault="0054095A" w:rsidP="002D0B3A">
      <w:pPr>
        <w:pStyle w:val="Subtitle"/>
      </w:pPr>
      <w:r w:rsidRPr="0054095A">
        <w:t>NEXT STEPS</w:t>
      </w:r>
    </w:p>
    <w:p w:rsidR="0054095A" w:rsidRPr="00304642" w:rsidRDefault="0054095A" w:rsidP="00C34B98">
      <w:pPr>
        <w:pStyle w:val="rxeInstructionText"/>
      </w:pPr>
      <w:r w:rsidRPr="00304642">
        <w:t xml:space="preserve">After the above </w:t>
      </w:r>
      <w:r w:rsidR="00A643F8" w:rsidRPr="00304642">
        <w:t>fields</w:t>
      </w:r>
      <w:r w:rsidRPr="00304642">
        <w:t xml:space="preserve"> ha</w:t>
      </w:r>
      <w:r w:rsidR="00254E74">
        <w:t>ve</w:t>
      </w:r>
      <w:r w:rsidRPr="00304642">
        <w:t xml:space="preserve"> been </w:t>
      </w:r>
      <w:r w:rsidR="00A643F8" w:rsidRPr="00304642">
        <w:t>populated</w:t>
      </w:r>
      <w:r w:rsidRPr="00304642">
        <w:t xml:space="preserve"> by the Reques</w:t>
      </w:r>
      <w:r w:rsidR="00254E74">
        <w:t xml:space="preserve">ter, the Approver must approve before </w:t>
      </w:r>
      <w:r w:rsidRPr="00304642">
        <w:t>the Purchaser may place the order</w:t>
      </w:r>
      <w:r w:rsidR="00A643F8" w:rsidRPr="00304642">
        <w:t>. When the order has been placed, the Purchaser will enter the date</w:t>
      </w:r>
      <w:r w:rsidR="00627527" w:rsidRPr="00304642">
        <w:t xml:space="preserve"> of the order in the </w:t>
      </w:r>
      <w:r w:rsidR="00627527" w:rsidRPr="00304642">
        <w:rPr>
          <w:i/>
        </w:rPr>
        <w:t>Order Placed</w:t>
      </w:r>
      <w:r w:rsidR="00627527" w:rsidRPr="00304642">
        <w:t xml:space="preserve"> column</w:t>
      </w:r>
      <w:r w:rsidR="00A643F8" w:rsidRPr="00304642">
        <w:t xml:space="preserve"> and his/her name in the </w:t>
      </w:r>
      <w:r w:rsidR="0057059D" w:rsidRPr="00304642">
        <w:rPr>
          <w:i/>
        </w:rPr>
        <w:t>Ordered by</w:t>
      </w:r>
      <w:r w:rsidR="00A643F8" w:rsidRPr="00304642">
        <w:t xml:space="preserve"> column.</w:t>
      </w:r>
      <w:r w:rsidR="000A263D" w:rsidRPr="00304642">
        <w:t xml:space="preserve"> If a PO </w:t>
      </w:r>
      <w:r w:rsidR="00254E74">
        <w:t>is</w:t>
      </w:r>
      <w:r w:rsidR="000A263D" w:rsidRPr="00304642">
        <w:t xml:space="preserve"> generated it will be attached to the row.</w:t>
      </w:r>
    </w:p>
    <w:p w:rsidR="00961767" w:rsidRDefault="00961767" w:rsidP="00C34B98">
      <w:pPr>
        <w:pStyle w:val="rxeInstructionText"/>
      </w:pPr>
      <w:r>
        <w:br w:type="page"/>
      </w:r>
    </w:p>
    <w:p w:rsidR="002D130D" w:rsidRDefault="00B75DFE" w:rsidP="00BE4997">
      <w:pPr>
        <w:pStyle w:val="IntenseQuote"/>
      </w:pPr>
      <w:bookmarkStart w:id="6" w:name="_To_request_the"/>
      <w:bookmarkStart w:id="7" w:name="_Toc413397055"/>
      <w:bookmarkStart w:id="8" w:name="InvoicePayment"/>
      <w:bookmarkEnd w:id="6"/>
      <w:r>
        <w:lastRenderedPageBreak/>
        <w:t>To R</w:t>
      </w:r>
      <w:r w:rsidR="002D130D" w:rsidRPr="00743244">
        <w:t xml:space="preserve">equest </w:t>
      </w:r>
      <w:r>
        <w:t>Payment of an I</w:t>
      </w:r>
      <w:r w:rsidR="00F331E0">
        <w:t>nvoice</w:t>
      </w:r>
      <w:bookmarkEnd w:id="7"/>
    </w:p>
    <w:bookmarkEnd w:id="8"/>
    <w:p w:rsidR="009E65EE" w:rsidRDefault="008E631F" w:rsidP="00C34B98">
      <w:pPr>
        <w:pStyle w:val="rxeInstructionText"/>
      </w:pPr>
      <w:r w:rsidRPr="00304642">
        <w:t>Invoices are typically</w:t>
      </w:r>
      <w:r w:rsidR="009E65EE" w:rsidRPr="00304642">
        <w:t xml:space="preserve"> entered</w:t>
      </w:r>
      <w:r w:rsidRPr="00304642">
        <w:t xml:space="preserve"> into smartsheet</w:t>
      </w:r>
      <w:r w:rsidR="009E65EE" w:rsidRPr="00304642">
        <w:t xml:space="preserve"> by the person </w:t>
      </w:r>
      <w:r w:rsidRPr="00304642">
        <w:t xml:space="preserve">first </w:t>
      </w:r>
      <w:r w:rsidR="009E65EE" w:rsidRPr="00304642">
        <w:t>receiving the invoice.</w:t>
      </w:r>
      <w:r w:rsidRPr="00304642">
        <w:t xml:space="preserve"> Invoices </w:t>
      </w:r>
      <w:r w:rsidR="0013710F">
        <w:t>are</w:t>
      </w:r>
      <w:r w:rsidRPr="00304642">
        <w:t xml:space="preserve"> also </w:t>
      </w:r>
      <w:r w:rsidR="0013710F">
        <w:t>defined as</w:t>
      </w:r>
      <w:r w:rsidRPr="00304642">
        <w:t xml:space="preserve"> </w:t>
      </w:r>
      <w:r w:rsidR="009E65EE" w:rsidRPr="00304642">
        <w:t xml:space="preserve">internal UO charges such as Catering, Telecom, </w:t>
      </w:r>
      <w:r w:rsidR="00CF25F4" w:rsidRPr="00304642">
        <w:t xml:space="preserve">or </w:t>
      </w:r>
      <w:r w:rsidR="009E65EE" w:rsidRPr="00304642">
        <w:t>Science Stores.</w:t>
      </w:r>
    </w:p>
    <w:p w:rsidR="001339E1" w:rsidRDefault="00F32A41" w:rsidP="00C34B98">
      <w:pPr>
        <w:pStyle w:val="rxeInstructionText"/>
      </w:pPr>
      <w:r w:rsidRPr="00304642">
        <w:rPr>
          <w:i/>
        </w:rPr>
        <w:t xml:space="preserve">Policy </w:t>
      </w:r>
      <w:r w:rsidR="009E65EE" w:rsidRPr="00304642">
        <w:rPr>
          <w:i/>
        </w:rPr>
        <w:t>Reminder:</w:t>
      </w:r>
      <w:r w:rsidR="009E65EE" w:rsidRPr="00304642">
        <w:t xml:space="preserve">  </w:t>
      </w:r>
      <w:r w:rsidR="008E631F" w:rsidRPr="00304642">
        <w:t>UO policy states that b</w:t>
      </w:r>
      <w:r w:rsidR="001339E1" w:rsidRPr="00304642">
        <w:t>efore an invoice</w:t>
      </w:r>
      <w:r w:rsidR="008E631F" w:rsidRPr="00304642">
        <w:t xml:space="preserve"> can be paid two things must </w:t>
      </w:r>
      <w:r w:rsidR="00C1269B">
        <w:t xml:space="preserve">have </w:t>
      </w:r>
      <w:r w:rsidR="008E631F" w:rsidRPr="00304642">
        <w:t>hap</w:t>
      </w:r>
      <w:r w:rsidR="001339E1" w:rsidRPr="00304642">
        <w:t>pen</w:t>
      </w:r>
      <w:r w:rsidR="00C1269B">
        <w:t>ed</w:t>
      </w:r>
      <w:r w:rsidR="008E631F" w:rsidRPr="00304642">
        <w:t>:</w:t>
      </w:r>
      <w:r w:rsidR="001339E1" w:rsidRPr="00304642">
        <w:t xml:space="preserve"> </w:t>
      </w:r>
      <w:r w:rsidR="008E631F" w:rsidRPr="00304642">
        <w:t>(i) we must have the invoice,</w:t>
      </w:r>
      <w:r w:rsidR="00F331E0" w:rsidRPr="00304642">
        <w:t xml:space="preserve"> </w:t>
      </w:r>
      <w:r w:rsidR="001339E1" w:rsidRPr="00304642">
        <w:t xml:space="preserve">and </w:t>
      </w:r>
      <w:r w:rsidR="008E631F" w:rsidRPr="00304642">
        <w:t xml:space="preserve">(ii) the product must be received, or the service completed </w:t>
      </w:r>
      <w:r w:rsidR="001339E1" w:rsidRPr="00304642">
        <w:t>to our satisfaction.</w:t>
      </w:r>
    </w:p>
    <w:p w:rsidR="00307F1B" w:rsidRDefault="00307F1B" w:rsidP="00C34B98">
      <w:pPr>
        <w:pStyle w:val="rxeInstructionText"/>
      </w:pPr>
      <w:r w:rsidRPr="00304642">
        <w:t>If you are entering an invoice</w:t>
      </w:r>
      <w:r w:rsidR="00E922AE" w:rsidRPr="00304642">
        <w:t xml:space="preserve"> for a purchase that is already on the smartsheet, skip </w:t>
      </w:r>
      <w:r w:rsidR="00254E74">
        <w:t xml:space="preserve">down </w:t>
      </w:r>
      <w:r w:rsidR="00E922AE" w:rsidRPr="00304642">
        <w:t xml:space="preserve">to the </w:t>
      </w:r>
      <w:hyperlink w:anchor="OrderCompleteField" w:history="1">
        <w:r w:rsidR="00E922AE" w:rsidRPr="000E0042">
          <w:rPr>
            <w:rStyle w:val="Hyperlink"/>
            <w:i/>
          </w:rPr>
          <w:t>Order Rec’</w:t>
        </w:r>
        <w:r w:rsidR="0057059D" w:rsidRPr="000E0042">
          <w:rPr>
            <w:rStyle w:val="Hyperlink"/>
            <w:i/>
          </w:rPr>
          <w:t>d/Complete</w:t>
        </w:r>
      </w:hyperlink>
      <w:r w:rsidR="009E65EE" w:rsidRPr="00304642">
        <w:t xml:space="preserve"> </w:t>
      </w:r>
      <w:r w:rsidR="008E631F" w:rsidRPr="00304642">
        <w:t>instructions</w:t>
      </w:r>
      <w:r w:rsidR="009E65EE" w:rsidRPr="00304642">
        <w:t xml:space="preserve"> below.</w:t>
      </w:r>
      <w:r w:rsidR="00E922AE" w:rsidRPr="00304642">
        <w:t xml:space="preserve"> </w:t>
      </w:r>
    </w:p>
    <w:p w:rsidR="00E922AE" w:rsidRPr="00304642" w:rsidRDefault="00E922AE" w:rsidP="00C34B98">
      <w:pPr>
        <w:pStyle w:val="rxeInstructionText"/>
      </w:pPr>
      <w:r w:rsidRPr="00304642">
        <w:t>If you are entering an invoice for an item that is not already on the smartsheet</w:t>
      </w:r>
      <w:r w:rsidR="001339E1" w:rsidRPr="00304642">
        <w:t xml:space="preserve"> proceed from here …</w:t>
      </w:r>
    </w:p>
    <w:p w:rsidR="007434D4" w:rsidRPr="00187215" w:rsidRDefault="007434D4" w:rsidP="007434D4">
      <w:pPr>
        <w:pStyle w:val="Subtitle"/>
      </w:pPr>
      <w:r w:rsidRPr="00187215">
        <w:t>[</w:t>
      </w:r>
      <w:r>
        <w:t>Group</w:t>
      </w:r>
      <w:r w:rsidRPr="00187215">
        <w:t>]</w:t>
      </w:r>
    </w:p>
    <w:p w:rsidR="007434D4" w:rsidRDefault="007434D4" w:rsidP="007434D4">
      <w:pPr>
        <w:pStyle w:val="rxeInstructionText"/>
      </w:pPr>
      <w:r w:rsidRPr="00304642">
        <w:t xml:space="preserve">The first column is </w:t>
      </w:r>
      <w:r>
        <w:t>for administrator use only to group items if necessary.</w:t>
      </w:r>
    </w:p>
    <w:p w:rsidR="00A643F8" w:rsidRPr="00F61537" w:rsidRDefault="00A643F8" w:rsidP="007434D4">
      <w:pPr>
        <w:pStyle w:val="Subtitle"/>
      </w:pPr>
      <w:r w:rsidRPr="00F61537">
        <w:t>[</w:t>
      </w:r>
      <w:r w:rsidR="00D97199">
        <w:t>Row</w:t>
      </w:r>
      <w:r w:rsidRPr="00F61537">
        <w:t>-</w:t>
      </w:r>
      <w:r w:rsidR="00D97199">
        <w:t>ID</w:t>
      </w:r>
      <w:r w:rsidRPr="00F61537">
        <w:t>]</w:t>
      </w:r>
    </w:p>
    <w:p w:rsidR="00A643F8" w:rsidRDefault="00AC59CC" w:rsidP="00C34B98">
      <w:pPr>
        <w:pStyle w:val="rxeInstructionText"/>
      </w:pPr>
      <w:r>
        <w:t>This column</w:t>
      </w:r>
      <w:r w:rsidR="00A643F8" w:rsidRPr="00304642">
        <w:t xml:space="preserve"> is an auto number; it is sequentially assigned by the system. Users cannot edit it. It will never change. It is a </w:t>
      </w:r>
      <w:r>
        <w:t>reliable</w:t>
      </w:r>
      <w:r w:rsidR="00A643F8" w:rsidRPr="00304642">
        <w:t xml:space="preserve"> way to </w:t>
      </w:r>
      <w:r>
        <w:t>refer to</w:t>
      </w:r>
      <w:r w:rsidR="00A643F8" w:rsidRPr="00304642">
        <w:t xml:space="preserve"> a specific item.</w:t>
      </w:r>
    </w:p>
    <w:p w:rsidR="007648F9" w:rsidRPr="00187215" w:rsidRDefault="007648F9" w:rsidP="007648F9">
      <w:pPr>
        <w:pStyle w:val="Subtitle"/>
      </w:pPr>
      <w:r w:rsidRPr="00187215">
        <w:t>[</w:t>
      </w:r>
      <w:r>
        <w:t>Unit</w:t>
      </w:r>
      <w:r w:rsidRPr="00187215">
        <w:t>]</w:t>
      </w:r>
    </w:p>
    <w:p w:rsidR="007648F9" w:rsidRPr="00304642" w:rsidRDefault="007648F9" w:rsidP="007648F9">
      <w:pPr>
        <w:pStyle w:val="rxeInstructionText"/>
      </w:pPr>
      <w:r>
        <w:t>This is a drop-down field identifying which office is making the request</w:t>
      </w:r>
      <w:r w:rsidRPr="00304642">
        <w:t>.</w:t>
      </w:r>
    </w:p>
    <w:p w:rsidR="00A643F8" w:rsidRPr="00743244" w:rsidRDefault="00A643F8" w:rsidP="002D0B3A">
      <w:pPr>
        <w:pStyle w:val="Subtitle"/>
      </w:pPr>
      <w:r>
        <w:t>[Requester]</w:t>
      </w:r>
    </w:p>
    <w:p w:rsidR="00A643F8" w:rsidRPr="00304642" w:rsidRDefault="00A643F8" w:rsidP="00C34B98">
      <w:pPr>
        <w:pStyle w:val="rxeInstructionText"/>
      </w:pPr>
      <w:r w:rsidRPr="00304642">
        <w:t xml:space="preserve">Enter your name; </w:t>
      </w:r>
      <w:r w:rsidR="00CF25F4" w:rsidRPr="00304642">
        <w:t xml:space="preserve">or </w:t>
      </w:r>
      <w:r w:rsidRPr="00304642">
        <w:t>select from the drop down list. (If you are merely entering the data for another person, fill-in the true Requester’s name.)</w:t>
      </w:r>
    </w:p>
    <w:p w:rsidR="00A643F8" w:rsidRDefault="00A643F8" w:rsidP="002D0B3A">
      <w:pPr>
        <w:pStyle w:val="Subtitle"/>
      </w:pPr>
      <w:r>
        <w:t>[Request Date]</w:t>
      </w:r>
    </w:p>
    <w:p w:rsidR="00A643F8" w:rsidRPr="00304642" w:rsidRDefault="00A643F8" w:rsidP="00C34B98">
      <w:pPr>
        <w:pStyle w:val="rxeInstructionText"/>
      </w:pPr>
      <w:r w:rsidRPr="00304642">
        <w:t xml:space="preserve">Fill-in the date you are entering the request. </w:t>
      </w:r>
    </w:p>
    <w:p w:rsidR="00A643F8" w:rsidRPr="00304642" w:rsidRDefault="00A643F8" w:rsidP="00C34B98">
      <w:pPr>
        <w:pStyle w:val="rxeInstructionText"/>
      </w:pPr>
      <w:r w:rsidRPr="00304642">
        <w:rPr>
          <w:i/>
        </w:rPr>
        <w:t>Shortcuts</w:t>
      </w:r>
      <w:r w:rsidRPr="00304642">
        <w:t xml:space="preserve">:  Just type “T” and smartsheet will enter the current day’s date, or type the date and smartsheet will </w:t>
      </w:r>
      <w:r w:rsidR="00254E74">
        <w:t>assume</w:t>
      </w:r>
      <w:r w:rsidRPr="00304642">
        <w:t xml:space="preserve"> the current month and year for you.</w:t>
      </w:r>
    </w:p>
    <w:p w:rsidR="00A643F8" w:rsidRPr="00743244" w:rsidRDefault="00A643F8" w:rsidP="002D0B3A">
      <w:pPr>
        <w:pStyle w:val="Subtitle"/>
      </w:pPr>
      <w:r>
        <w:t>[Approval Status]</w:t>
      </w:r>
    </w:p>
    <w:p w:rsidR="00A643F8" w:rsidRDefault="00A643F8" w:rsidP="00C34B98">
      <w:pPr>
        <w:pStyle w:val="rxeInstructionText"/>
      </w:pPr>
      <w:r w:rsidRPr="00304642">
        <w:t xml:space="preserve">Select the drop-down status of </w:t>
      </w:r>
      <w:r w:rsidR="00627527" w:rsidRPr="00D97199">
        <w:rPr>
          <w:rFonts w:ascii="Courier New" w:hAnsi="Courier New" w:cs="Courier New"/>
          <w:b/>
          <w:color w:val="0000FF"/>
        </w:rPr>
        <w:t>requested</w:t>
      </w:r>
      <w:r w:rsidRPr="00304642">
        <w:t xml:space="preserve">. This will turn the cell red indicating that an action is required by the Approver, and will automatically put the request on the Open </w:t>
      </w:r>
      <w:r w:rsidR="00F331E0" w:rsidRPr="00304642">
        <w:t>Item</w:t>
      </w:r>
      <w:r w:rsidRPr="00304642">
        <w:t xml:space="preserve"> Report for the approver. Failure to select the</w:t>
      </w:r>
      <w:r w:rsidR="00627527" w:rsidRPr="00304642">
        <w:t xml:space="preserve"> </w:t>
      </w:r>
      <w:r w:rsidR="00627527" w:rsidRPr="00D97199">
        <w:rPr>
          <w:rFonts w:ascii="Courier New" w:hAnsi="Courier New" w:cs="Courier New"/>
          <w:b/>
          <w:color w:val="0000FF"/>
        </w:rPr>
        <w:t>requested</w:t>
      </w:r>
      <w:r w:rsidRPr="0013710F">
        <w:rPr>
          <w:color w:val="0000FF"/>
        </w:rPr>
        <w:t xml:space="preserve"> </w:t>
      </w:r>
      <w:r w:rsidRPr="00304642">
        <w:t xml:space="preserve">status will most likely result in your request being </w:t>
      </w:r>
      <w:r w:rsidR="00254E74">
        <w:t>overlooked</w:t>
      </w:r>
      <w:r w:rsidRPr="00304642">
        <w:t>.</w:t>
      </w:r>
    </w:p>
    <w:p w:rsidR="00A643F8" w:rsidRDefault="00A643F8" w:rsidP="00C34B98">
      <w:pPr>
        <w:pStyle w:val="rxeInstructionText"/>
      </w:pPr>
      <w:r w:rsidRPr="00304642">
        <w:t xml:space="preserve">If later you decide to cancel the </w:t>
      </w:r>
      <w:r w:rsidR="001339E1" w:rsidRPr="00304642">
        <w:t>invoice</w:t>
      </w:r>
      <w:r w:rsidRPr="00304642">
        <w:t xml:space="preserve"> request</w:t>
      </w:r>
      <w:r w:rsidR="001339E1" w:rsidRPr="00304642">
        <w:t xml:space="preserve"> (for example, the invoice is incorrect)</w:t>
      </w:r>
      <w:r w:rsidR="00627527" w:rsidRPr="00304642">
        <w:t xml:space="preserve"> select </w:t>
      </w:r>
      <w:r w:rsidRPr="00D97199">
        <w:rPr>
          <w:rFonts w:ascii="Courier New" w:hAnsi="Courier New" w:cs="Courier New"/>
          <w:b/>
          <w:color w:val="0000FF"/>
        </w:rPr>
        <w:t>cancelled</w:t>
      </w:r>
      <w:r w:rsidRPr="00304642">
        <w:t>. This will strike-through the entire row.</w:t>
      </w:r>
    </w:p>
    <w:p w:rsidR="00A643F8" w:rsidRPr="00304642" w:rsidRDefault="00A643F8" w:rsidP="00C34B98">
      <w:pPr>
        <w:pStyle w:val="rxeInstructionText"/>
      </w:pPr>
      <w:r w:rsidRPr="00304642">
        <w:t xml:space="preserve">Before the </w:t>
      </w:r>
      <w:r w:rsidR="001339E1" w:rsidRPr="00304642">
        <w:t>invoice</w:t>
      </w:r>
      <w:r w:rsidRPr="00304642">
        <w:t xml:space="preserve"> can be </w:t>
      </w:r>
      <w:r w:rsidR="001339E1" w:rsidRPr="00304642">
        <w:t>paid</w:t>
      </w:r>
      <w:r w:rsidRPr="00304642">
        <w:t xml:space="preserve">, the Approver </w:t>
      </w:r>
      <w:r w:rsidR="00627527" w:rsidRPr="00304642">
        <w:t xml:space="preserve">will need to set the </w:t>
      </w:r>
      <w:r w:rsidR="00627527" w:rsidRPr="00304642">
        <w:rPr>
          <w:i/>
        </w:rPr>
        <w:t>Approval Status</w:t>
      </w:r>
      <w:r w:rsidR="00627527" w:rsidRPr="00304642">
        <w:t xml:space="preserve"> to </w:t>
      </w:r>
      <w:r w:rsidRPr="00D97199">
        <w:rPr>
          <w:rFonts w:ascii="Courier New" w:hAnsi="Courier New" w:cs="Courier New"/>
          <w:b/>
          <w:color w:val="0000FF"/>
        </w:rPr>
        <w:t>approved</w:t>
      </w:r>
      <w:r w:rsidRPr="00304642">
        <w:t xml:space="preserve">. The User ID/date/time stamp will be checked prior to the </w:t>
      </w:r>
      <w:r w:rsidR="00627527" w:rsidRPr="00304642">
        <w:t>invoice being paid</w:t>
      </w:r>
      <w:r w:rsidRPr="00304642">
        <w:t>.</w:t>
      </w:r>
    </w:p>
    <w:p w:rsidR="00A643F8" w:rsidRPr="00743244" w:rsidRDefault="00A643F8" w:rsidP="002D0B3A">
      <w:pPr>
        <w:pStyle w:val="Subtitle"/>
      </w:pPr>
      <w:r>
        <w:lastRenderedPageBreak/>
        <w:t>[Approver]</w:t>
      </w:r>
    </w:p>
    <w:p w:rsidR="00A0015A" w:rsidRDefault="00A643F8" w:rsidP="00C34B98">
      <w:pPr>
        <w:pStyle w:val="rxeInstructionText"/>
      </w:pPr>
      <w:r w:rsidRPr="00304642">
        <w:t xml:space="preserve">Enter the name, from the drop down list, of the person who has responsibility for the index that will pay </w:t>
      </w:r>
      <w:r w:rsidR="00254E74">
        <w:t>the invoice</w:t>
      </w:r>
      <w:r w:rsidRPr="00304642">
        <w:t>.</w:t>
      </w:r>
    </w:p>
    <w:p w:rsidR="00A643F8" w:rsidRPr="00743244" w:rsidRDefault="00A643F8" w:rsidP="002D0B3A">
      <w:pPr>
        <w:pStyle w:val="Subtitle"/>
      </w:pPr>
      <w:r>
        <w:t>[Index]</w:t>
      </w:r>
    </w:p>
    <w:p w:rsidR="00A643F8" w:rsidRPr="00304642" w:rsidRDefault="00A643F8" w:rsidP="00C34B98">
      <w:pPr>
        <w:pStyle w:val="rxeInstructionText"/>
      </w:pPr>
      <w:r w:rsidRPr="00304642">
        <w:t xml:space="preserve">Select the “index” to which the cost should be charged </w:t>
      </w:r>
      <w:r w:rsidR="00D97199">
        <w:t>from the drop-down list of all S</w:t>
      </w:r>
      <w:r w:rsidRPr="00304642">
        <w:t xml:space="preserve">RS indexes. When appropriate, </w:t>
      </w:r>
      <w:r w:rsidR="0077434C">
        <w:t>non-S</w:t>
      </w:r>
      <w:r w:rsidR="008C448E">
        <w:t>RS</w:t>
      </w:r>
      <w:r w:rsidRPr="00304642">
        <w:t xml:space="preserve"> indexes and/or activity codes may be entered; they will display in </w:t>
      </w:r>
      <w:r w:rsidRPr="00194433">
        <w:t>red typeface,</w:t>
      </w:r>
      <w:r w:rsidRPr="00304642">
        <w:t xml:space="preserve"> this is okay.</w:t>
      </w:r>
      <w:r w:rsidR="00254E74">
        <w:t xml:space="preserve"> Why the invoice is being charged to another unit should be explained in the </w:t>
      </w:r>
      <w:r w:rsidR="00254E74" w:rsidRPr="00254E74">
        <w:rPr>
          <w:i/>
        </w:rPr>
        <w:t>Comments</w:t>
      </w:r>
      <w:r w:rsidR="00254E74">
        <w:t xml:space="preserve"> column.</w:t>
      </w:r>
    </w:p>
    <w:p w:rsidR="00A643F8" w:rsidRPr="00743244" w:rsidRDefault="00A643F8" w:rsidP="002D0B3A">
      <w:pPr>
        <w:pStyle w:val="Subtitle"/>
      </w:pPr>
      <w:r>
        <w:t>[Vendor]</w:t>
      </w:r>
    </w:p>
    <w:p w:rsidR="00A643F8" w:rsidRPr="00304642" w:rsidRDefault="00A643F8" w:rsidP="00C34B98">
      <w:pPr>
        <w:pStyle w:val="rxeInstructionText"/>
      </w:pPr>
      <w:r w:rsidRPr="00304642">
        <w:t xml:space="preserve">Enter the name of the vendor </w:t>
      </w:r>
      <w:r w:rsidR="007A5C0B" w:rsidRPr="00304642">
        <w:t>from whom</w:t>
      </w:r>
      <w:r w:rsidR="00F331E0" w:rsidRPr="00304642">
        <w:t xml:space="preserve"> the invoice</w:t>
      </w:r>
      <w:r w:rsidR="007A5C0B" w:rsidRPr="00304642">
        <w:t xml:space="preserve"> was received.</w:t>
      </w:r>
    </w:p>
    <w:p w:rsidR="00A643F8" w:rsidRPr="00743244" w:rsidRDefault="00A643F8" w:rsidP="002D0B3A">
      <w:pPr>
        <w:pStyle w:val="Subtitle"/>
      </w:pPr>
      <w:r>
        <w:t>[Item Description]</w:t>
      </w:r>
    </w:p>
    <w:p w:rsidR="00627527" w:rsidRPr="00304642" w:rsidRDefault="00A643F8" w:rsidP="00C34B98">
      <w:pPr>
        <w:pStyle w:val="rxeInstructionText"/>
      </w:pPr>
      <w:r w:rsidRPr="00304642">
        <w:t xml:space="preserve">Enter item name </w:t>
      </w:r>
      <w:r w:rsidR="00F331E0" w:rsidRPr="00304642">
        <w:t>or description</w:t>
      </w:r>
      <w:r w:rsidRPr="00304642">
        <w:t xml:space="preserve">. Additional information or </w:t>
      </w:r>
      <w:r w:rsidR="00627527" w:rsidRPr="00304642">
        <w:t xml:space="preserve">web links can be added to the </w:t>
      </w:r>
      <w:r w:rsidR="00627527" w:rsidRPr="00304642">
        <w:rPr>
          <w:i/>
        </w:rPr>
        <w:t>Comments</w:t>
      </w:r>
      <w:r w:rsidR="00627527" w:rsidRPr="00304642">
        <w:t xml:space="preserve"> (dialogue bubble</w:t>
      </w:r>
      <w:r w:rsidR="0013710F">
        <w:t xml:space="preserve"> icon</w:t>
      </w:r>
      <w:r w:rsidR="00627527" w:rsidRPr="00304642">
        <w:t xml:space="preserve">) column. Or any relevant </w:t>
      </w:r>
      <w:r w:rsidR="005B3828">
        <w:t>documents</w:t>
      </w:r>
      <w:r w:rsidR="00627527" w:rsidRPr="00304642">
        <w:t xml:space="preserve"> may be added to the row in the </w:t>
      </w:r>
      <w:r w:rsidR="00627527" w:rsidRPr="00304642">
        <w:rPr>
          <w:i/>
        </w:rPr>
        <w:t>Attachment</w:t>
      </w:r>
      <w:r w:rsidR="00627527" w:rsidRPr="00304642">
        <w:t xml:space="preserve"> (paperclip</w:t>
      </w:r>
      <w:r w:rsidR="0013710F">
        <w:t xml:space="preserve"> icon</w:t>
      </w:r>
      <w:r w:rsidR="00627527" w:rsidRPr="00304642">
        <w:t>) column.</w:t>
      </w:r>
    </w:p>
    <w:p w:rsidR="00F32A41" w:rsidRDefault="00F32A41" w:rsidP="00254E74">
      <w:pPr>
        <w:pStyle w:val="rxeInstructionTex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3D7E9C" wp14:editId="762F2705">
            <wp:extent cx="2781300" cy="59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527" w:rsidRPr="00304642" w:rsidRDefault="00627527" w:rsidP="00C34B98">
      <w:pPr>
        <w:pStyle w:val="rxeInstructionText"/>
      </w:pPr>
      <w:r w:rsidRPr="00304642">
        <w:rPr>
          <w:i/>
        </w:rPr>
        <w:t>Suggestion</w:t>
      </w:r>
      <w:r w:rsidRPr="00304642">
        <w:t>:  If you expect to charge-back the item to another department, consider entering “Charge-back of  …” in the next row at this time.</w:t>
      </w:r>
    </w:p>
    <w:p w:rsidR="00CF25F4" w:rsidRPr="00743244" w:rsidRDefault="00CF25F4" w:rsidP="00254E74">
      <w:pPr>
        <w:pStyle w:val="rxeInstructionTex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F8F0DE" wp14:editId="2E3D267A">
            <wp:extent cx="3790950" cy="983130"/>
            <wp:effectExtent l="19050" t="19050" r="1905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83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64A7" w:rsidRPr="00743244" w:rsidRDefault="002F64A7" w:rsidP="002F64A7">
      <w:pPr>
        <w:pStyle w:val="Subtitle"/>
      </w:pPr>
      <w:r>
        <w:t>[Pcard]</w:t>
      </w:r>
    </w:p>
    <w:p w:rsidR="002F64A7" w:rsidRPr="00304642" w:rsidRDefault="002F64A7" w:rsidP="002F64A7">
      <w:pPr>
        <w:pStyle w:val="rxeInstructionText"/>
      </w:pPr>
      <w:r w:rsidRPr="00304642">
        <w:t xml:space="preserve">If the Purchaser determines that the </w:t>
      </w:r>
      <w:r>
        <w:t>invoice</w:t>
      </w:r>
      <w:r w:rsidRPr="00304642">
        <w:t xml:space="preserve"> should be </w:t>
      </w:r>
      <w:r>
        <w:t>paid for with a Pcard</w:t>
      </w:r>
      <w:r w:rsidRPr="00304642">
        <w:t>, this check-box will be checked.</w:t>
      </w:r>
    </w:p>
    <w:p w:rsidR="008B6689" w:rsidRPr="00743244" w:rsidRDefault="008B6689" w:rsidP="008B6689">
      <w:pPr>
        <w:pStyle w:val="Subtitle"/>
      </w:pPr>
      <w:r>
        <w:t>[Qty]</w:t>
      </w:r>
    </w:p>
    <w:p w:rsidR="008B6689" w:rsidRPr="00304642" w:rsidRDefault="008B6689" w:rsidP="008B6689">
      <w:pPr>
        <w:pStyle w:val="rxeInstructionText"/>
      </w:pPr>
      <w:r w:rsidRPr="00304642">
        <w:t>Enter the quantity of the item, if appropriate.</w:t>
      </w:r>
    </w:p>
    <w:p w:rsidR="008B6689" w:rsidRPr="00743244" w:rsidRDefault="008B6689" w:rsidP="008B6689">
      <w:pPr>
        <w:pStyle w:val="Subtitle"/>
      </w:pPr>
      <w:r>
        <w:t>[Total Price]</w:t>
      </w:r>
    </w:p>
    <w:p w:rsidR="008B6689" w:rsidRPr="00304642" w:rsidRDefault="008B6689" w:rsidP="008B6689">
      <w:pPr>
        <w:pStyle w:val="rxeInstructionText"/>
      </w:pPr>
      <w:r w:rsidRPr="00304642">
        <w:t>Enter the total cost of the item. Typically [unit price] x [qty], but may vary from this formula if there are additional costs, such as shipping.</w:t>
      </w:r>
      <w:r>
        <w:t xml:space="preserve"> </w:t>
      </w:r>
      <w:r w:rsidRPr="00304642">
        <w:t xml:space="preserve">Do not enter the dollar sign, </w:t>
      </w:r>
      <w:r>
        <w:t xml:space="preserve">the </w:t>
      </w:r>
      <w:r w:rsidRPr="00304642">
        <w:t>cell is pre-formatted to display as dollars and cents.</w:t>
      </w:r>
    </w:p>
    <w:p w:rsidR="00A643F8" w:rsidRPr="00743244" w:rsidRDefault="00A643F8" w:rsidP="008B6689">
      <w:pPr>
        <w:pStyle w:val="Subtitle"/>
      </w:pPr>
      <w:r>
        <w:t>[Unit Price]</w:t>
      </w:r>
    </w:p>
    <w:p w:rsidR="00961767" w:rsidRDefault="00A643F8" w:rsidP="00C34B98">
      <w:pPr>
        <w:pStyle w:val="rxeInstructionText"/>
      </w:pPr>
      <w:r w:rsidRPr="00304642">
        <w:t>Enter the unit price of the item, if appropriate.</w:t>
      </w:r>
      <w:r w:rsidR="00961767">
        <w:t xml:space="preserve"> </w:t>
      </w:r>
      <w:r w:rsidR="00961767" w:rsidRPr="00304642">
        <w:t xml:space="preserve">Do not enter the dollar sign, </w:t>
      </w:r>
      <w:r w:rsidR="00961767">
        <w:t xml:space="preserve">the </w:t>
      </w:r>
      <w:r w:rsidR="00961767" w:rsidRPr="00304642">
        <w:t>cell is pre-formatted to display as dollars and cents.</w:t>
      </w:r>
    </w:p>
    <w:p w:rsidR="007434D4" w:rsidRPr="00304642" w:rsidRDefault="007434D4" w:rsidP="00C34B98">
      <w:pPr>
        <w:pStyle w:val="rxeInstructionText"/>
      </w:pPr>
    </w:p>
    <w:p w:rsidR="007A5C0B" w:rsidRPr="00743244" w:rsidRDefault="007A5C0B" w:rsidP="002D0B3A">
      <w:pPr>
        <w:pStyle w:val="Subtitle"/>
      </w:pPr>
      <w:r>
        <w:lastRenderedPageBreak/>
        <w:t>[Order Placed</w:t>
      </w:r>
      <w:r w:rsidR="007648F9">
        <w:t xml:space="preserve"> Date</w:t>
      </w:r>
      <w:r>
        <w:t>]</w:t>
      </w:r>
    </w:p>
    <w:p w:rsidR="007A5C0B" w:rsidRDefault="007A5C0B" w:rsidP="00C34B98">
      <w:pPr>
        <w:pStyle w:val="rxeInstructionText"/>
      </w:pPr>
      <w:r w:rsidRPr="00304642">
        <w:t xml:space="preserve">The smartsheet administrator will enter </w:t>
      </w:r>
      <w:r w:rsidRPr="00304642">
        <w:rPr>
          <w:rFonts w:ascii="Courier New" w:hAnsi="Courier New" w:cs="Courier New"/>
        </w:rPr>
        <w:t>NA</w:t>
      </w:r>
      <w:r w:rsidRPr="00304642">
        <w:t>.</w:t>
      </w:r>
    </w:p>
    <w:p w:rsidR="007A5C0B" w:rsidRPr="00743244" w:rsidRDefault="007648F9" w:rsidP="002D0B3A">
      <w:pPr>
        <w:pStyle w:val="Subtitle"/>
      </w:pPr>
      <w:r>
        <w:t>[Ordered B</w:t>
      </w:r>
      <w:r w:rsidR="007A5C0B">
        <w:t>y]</w:t>
      </w:r>
    </w:p>
    <w:p w:rsidR="00A0015A" w:rsidRDefault="007A5C0B" w:rsidP="00C34B98">
      <w:pPr>
        <w:pStyle w:val="rxeInstructionText"/>
      </w:pPr>
      <w:r w:rsidRPr="00304642">
        <w:t xml:space="preserve">The smartsheet administrator will enter </w:t>
      </w:r>
      <w:r w:rsidRPr="00304642">
        <w:rPr>
          <w:rFonts w:ascii="Courier New" w:hAnsi="Courier New" w:cs="Courier New"/>
        </w:rPr>
        <w:t>NA</w:t>
      </w:r>
      <w:r w:rsidRPr="00304642">
        <w:t>.</w:t>
      </w:r>
    </w:p>
    <w:p w:rsidR="00F331E0" w:rsidRPr="00743244" w:rsidRDefault="00F331E0" w:rsidP="002D0B3A">
      <w:pPr>
        <w:pStyle w:val="Subtitle"/>
      </w:pPr>
      <w:bookmarkStart w:id="9" w:name="OrderCompleteField"/>
      <w:r>
        <w:t>[Order Rec’d/Complete]</w:t>
      </w:r>
    </w:p>
    <w:bookmarkEnd w:id="9"/>
    <w:p w:rsidR="005A25A6" w:rsidRPr="00304642" w:rsidRDefault="005A25A6" w:rsidP="00C34B98">
      <w:pPr>
        <w:pStyle w:val="rxeInstructionText"/>
      </w:pPr>
      <w:r w:rsidRPr="00304642">
        <w:t>This is one</w:t>
      </w:r>
      <w:r w:rsidR="0013710F">
        <w:t xml:space="preserve"> of</w:t>
      </w:r>
      <w:r w:rsidRPr="00304642">
        <w:t xml:space="preserve"> the most important fields on the smartsheet, as it indicates whether </w:t>
      </w:r>
      <w:r w:rsidR="0013710F">
        <w:t xml:space="preserve">or not </w:t>
      </w:r>
      <w:r w:rsidRPr="00304642">
        <w:t>t</w:t>
      </w:r>
      <w:r w:rsidR="0013710F">
        <w:t>he invoice should be paid</w:t>
      </w:r>
      <w:r w:rsidRPr="00304642">
        <w:t>.</w:t>
      </w:r>
    </w:p>
    <w:p w:rsidR="00F331E0" w:rsidRPr="00304642" w:rsidRDefault="00254E74" w:rsidP="00C34B98">
      <w:pPr>
        <w:pStyle w:val="rxeInstructionText"/>
      </w:pPr>
      <w:r>
        <w:t xml:space="preserve">Typically, this </w:t>
      </w:r>
      <w:r w:rsidR="00257F7A" w:rsidRPr="00304642">
        <w:t xml:space="preserve">column is </w:t>
      </w:r>
      <w:r w:rsidR="00AB66A8" w:rsidRPr="00304642">
        <w:t>filled-in by the Requester, since he/she is the one</w:t>
      </w:r>
      <w:r w:rsidR="005A25A6" w:rsidRPr="00304642">
        <w:t xml:space="preserve"> most likely to know if the item has been received</w:t>
      </w:r>
      <w:r w:rsidR="00720855">
        <w:t xml:space="preserve">, or the service </w:t>
      </w:r>
      <w:r w:rsidR="005A25A6" w:rsidRPr="00304642">
        <w:t>completed to his/her satisfaction. However, some simple purchases (such as OfficeMax) may be filled-in by the person who actually received the shipped package.</w:t>
      </w:r>
    </w:p>
    <w:p w:rsidR="00257F7A" w:rsidRPr="00304642" w:rsidRDefault="00257F7A" w:rsidP="00C34B98">
      <w:pPr>
        <w:pStyle w:val="rxeInstructionText"/>
      </w:pPr>
      <w:r w:rsidRPr="00304642">
        <w:t xml:space="preserve">Select </w:t>
      </w:r>
      <w:r w:rsidRPr="002F64A7">
        <w:rPr>
          <w:rFonts w:ascii="Courier New" w:hAnsi="Courier New" w:cs="Courier New"/>
          <w:b/>
          <w:color w:val="0000FF"/>
        </w:rPr>
        <w:t>yes</w:t>
      </w:r>
      <w:r w:rsidRPr="00304642">
        <w:t xml:space="preserve">, </w:t>
      </w:r>
      <w:r w:rsidRPr="002F64A7">
        <w:rPr>
          <w:rFonts w:ascii="Courier New" w:hAnsi="Courier New" w:cs="Courier New"/>
          <w:b/>
          <w:color w:val="0000FF"/>
        </w:rPr>
        <w:t>no</w:t>
      </w:r>
      <w:r w:rsidRPr="0013710F">
        <w:rPr>
          <w:color w:val="0000FF"/>
        </w:rPr>
        <w:t xml:space="preserve"> </w:t>
      </w:r>
      <w:r w:rsidRPr="00304642">
        <w:t xml:space="preserve">or </w:t>
      </w:r>
      <w:r w:rsidRPr="002F64A7">
        <w:rPr>
          <w:rFonts w:ascii="Courier New" w:hAnsi="Courier New" w:cs="Courier New"/>
          <w:b/>
          <w:color w:val="0000FF"/>
        </w:rPr>
        <w:t>partial</w:t>
      </w:r>
      <w:r w:rsidRPr="0013710F">
        <w:rPr>
          <w:color w:val="0000FF"/>
        </w:rPr>
        <w:t xml:space="preserve"> </w:t>
      </w:r>
      <w:r w:rsidR="00AB66A8" w:rsidRPr="00304642">
        <w:t>from the drop-down to indicate</w:t>
      </w:r>
      <w:r w:rsidR="000462B0" w:rsidRPr="00304642">
        <w:t xml:space="preserve"> whether the purchase has been </w:t>
      </w:r>
      <w:r w:rsidR="002F64A7">
        <w:t xml:space="preserve">completely </w:t>
      </w:r>
      <w:r w:rsidR="000462B0" w:rsidRPr="00304642">
        <w:t xml:space="preserve">received and </w:t>
      </w:r>
      <w:r w:rsidR="00CF25F4" w:rsidRPr="00304642">
        <w:t xml:space="preserve">the invoice </w:t>
      </w:r>
      <w:r w:rsidR="000462B0" w:rsidRPr="00304642">
        <w:t>should be paid.</w:t>
      </w:r>
      <w:r w:rsidR="00254E74">
        <w:t xml:space="preserve"> When this column is “yes” and the </w:t>
      </w:r>
      <w:r w:rsidR="00254E74" w:rsidRPr="00254E74">
        <w:rPr>
          <w:i/>
        </w:rPr>
        <w:t>Invoice Nbr</w:t>
      </w:r>
      <w:r w:rsidR="00254E74">
        <w:t xml:space="preserve"> column is filled-in, the </w:t>
      </w:r>
      <w:r w:rsidR="00254E74" w:rsidRPr="00254E74">
        <w:rPr>
          <w:i/>
        </w:rPr>
        <w:t>Invoice P</w:t>
      </w:r>
      <w:r w:rsidR="002F64A7">
        <w:rPr>
          <w:i/>
        </w:rPr>
        <w:t>ai</w:t>
      </w:r>
      <w:r w:rsidR="00254E74" w:rsidRPr="00254E74">
        <w:rPr>
          <w:i/>
        </w:rPr>
        <w:t>d</w:t>
      </w:r>
      <w:r w:rsidR="00254E74">
        <w:rPr>
          <w:i/>
        </w:rPr>
        <w:t xml:space="preserve"> Date</w:t>
      </w:r>
      <w:r w:rsidR="00254E74">
        <w:t xml:space="preserve"> </w:t>
      </w:r>
      <w:r w:rsidR="00CA7FA8">
        <w:t>cell</w:t>
      </w:r>
      <w:r w:rsidR="00254E74">
        <w:t xml:space="preserve"> will highlight in </w:t>
      </w:r>
      <w:r w:rsidR="00254E74" w:rsidRPr="00CA7FA8">
        <w:rPr>
          <w:color w:val="FF0000"/>
        </w:rPr>
        <w:t>red</w:t>
      </w:r>
      <w:r w:rsidR="00041F0F">
        <w:t>,</w:t>
      </w:r>
      <w:r w:rsidR="00254E74">
        <w:t xml:space="preserve"> </w:t>
      </w:r>
      <w:r w:rsidR="00041F0F">
        <w:t xml:space="preserve">indicating to the administrator </w:t>
      </w:r>
      <w:r w:rsidR="00254E74">
        <w:t xml:space="preserve">that the invoice </w:t>
      </w:r>
      <w:r w:rsidR="00041F0F">
        <w:t>should</w:t>
      </w:r>
      <w:r w:rsidR="00254E74">
        <w:t xml:space="preserve"> to be paid.</w:t>
      </w:r>
    </w:p>
    <w:p w:rsidR="00F331E0" w:rsidRPr="00743244" w:rsidRDefault="00F331E0" w:rsidP="002D0B3A">
      <w:pPr>
        <w:pStyle w:val="Subtitle"/>
      </w:pPr>
      <w:r>
        <w:t>[Invoice Nbr]</w:t>
      </w:r>
    </w:p>
    <w:p w:rsidR="00F331E0" w:rsidRPr="00304642" w:rsidRDefault="00F331E0" w:rsidP="00C34B98">
      <w:pPr>
        <w:pStyle w:val="rxeInstructionText"/>
      </w:pPr>
      <w:r w:rsidRPr="00304642">
        <w:t>Enter the i</w:t>
      </w:r>
      <w:r w:rsidR="0057059D" w:rsidRPr="00304642">
        <w:t>nvoice number as printed on the</w:t>
      </w:r>
      <w:r w:rsidR="002F64A7">
        <w:t xml:space="preserve"> vendor’s</w:t>
      </w:r>
      <w:r w:rsidR="0057059D" w:rsidRPr="00304642">
        <w:t xml:space="preserve"> invoice.</w:t>
      </w:r>
    </w:p>
    <w:p w:rsidR="00F331E0" w:rsidRPr="00743244" w:rsidRDefault="00F331E0" w:rsidP="005A25A6">
      <w:pPr>
        <w:pStyle w:val="Subtitle"/>
      </w:pPr>
      <w:r>
        <w:t>[Invoice P</w:t>
      </w:r>
      <w:r w:rsidR="00AF3FD4">
        <w:t>ai</w:t>
      </w:r>
      <w:r>
        <w:t>d Date]</w:t>
      </w:r>
    </w:p>
    <w:p w:rsidR="00F331E0" w:rsidRPr="00304642" w:rsidRDefault="001162FA" w:rsidP="00C34B98">
      <w:pPr>
        <w:pStyle w:val="rxeInstructionText"/>
      </w:pPr>
      <w:r w:rsidRPr="00304642">
        <w:t>The smartsheet a</w:t>
      </w:r>
      <w:r w:rsidR="0057059D" w:rsidRPr="00304642">
        <w:t>dmin</w:t>
      </w:r>
      <w:r w:rsidRPr="00304642">
        <w:t>istrator</w:t>
      </w:r>
      <w:r w:rsidR="0057059D" w:rsidRPr="00304642">
        <w:t xml:space="preserve"> will enter the date the invoice</w:t>
      </w:r>
      <w:r w:rsidR="00AF3FD4" w:rsidRPr="00304642">
        <w:t xml:space="preserve"> (or charge-back journal entry)</w:t>
      </w:r>
      <w:r w:rsidR="0057059D" w:rsidRPr="00304642">
        <w:t xml:space="preserve"> is entered </w:t>
      </w:r>
      <w:r w:rsidRPr="00304642">
        <w:t>into</w:t>
      </w:r>
      <w:r w:rsidR="0057059D" w:rsidRPr="00304642">
        <w:t xml:space="preserve"> Banner</w:t>
      </w:r>
      <w:r w:rsidRPr="00304642">
        <w:t xml:space="preserve"> for payment</w:t>
      </w:r>
      <w:r w:rsidR="0057059D" w:rsidRPr="00304642">
        <w:t>.</w:t>
      </w:r>
      <w:r w:rsidRPr="00304642">
        <w:t xml:space="preserve"> This is not necessarily the date the check is printed and mailed.</w:t>
      </w:r>
    </w:p>
    <w:p w:rsidR="001162FA" w:rsidRPr="00304642" w:rsidRDefault="001162FA" w:rsidP="00C34B98">
      <w:pPr>
        <w:pStyle w:val="rxeInstructionText"/>
      </w:pPr>
      <w:r w:rsidRPr="00304642">
        <w:t>Banner automatically default</w:t>
      </w:r>
      <w:r w:rsidR="00041F0F">
        <w:t>s</w:t>
      </w:r>
      <w:r w:rsidRPr="00304642">
        <w:t xml:space="preserve"> the check print date to 25 days after the invoice date. Checks are printed </w:t>
      </w:r>
      <w:r w:rsidR="00041F0F">
        <w:t xml:space="preserve">and mailed out </w:t>
      </w:r>
      <w:r w:rsidRPr="00304642">
        <w:t>every Tuesday and Friday.</w:t>
      </w:r>
    </w:p>
    <w:p w:rsidR="00F331E0" w:rsidRPr="00743244" w:rsidRDefault="00F331E0" w:rsidP="002D0B3A">
      <w:pPr>
        <w:pStyle w:val="Subtitle"/>
      </w:pPr>
      <w:r>
        <w:t>[Banner Doc Nbr]</w:t>
      </w:r>
    </w:p>
    <w:p w:rsidR="00A0015A" w:rsidRDefault="001162FA" w:rsidP="00041F0F">
      <w:pPr>
        <w:pStyle w:val="rxeInstructionText"/>
      </w:pPr>
      <w:r w:rsidRPr="00304642">
        <w:t>The smar</w:t>
      </w:r>
      <w:r w:rsidR="00257F7A" w:rsidRPr="00304642">
        <w:t>tsheet a</w:t>
      </w:r>
      <w:r w:rsidRPr="00304642">
        <w:t>dministrator</w:t>
      </w:r>
      <w:r w:rsidR="0057059D" w:rsidRPr="00304642">
        <w:t xml:space="preserve"> will enter the Banner document number. Banner invoice documents begin with an “I”, journal entries with a “J”. Anyone with Banner access can </w:t>
      </w:r>
      <w:r w:rsidRPr="00304642">
        <w:t>use the document number to look-up the document</w:t>
      </w:r>
      <w:r w:rsidR="00257F7A" w:rsidRPr="00304642">
        <w:t xml:space="preserve"> and check its status.</w:t>
      </w:r>
    </w:p>
    <w:p w:rsidR="00F331E0" w:rsidRPr="00743244" w:rsidRDefault="00F331E0" w:rsidP="002D0B3A">
      <w:pPr>
        <w:pStyle w:val="Subtitle"/>
      </w:pPr>
      <w:r>
        <w:t>[Complete]</w:t>
      </w:r>
    </w:p>
    <w:p w:rsidR="00F331E0" w:rsidRDefault="001162FA" w:rsidP="00C34B98">
      <w:pPr>
        <w:pStyle w:val="rxeInstructionText"/>
      </w:pPr>
      <w:r w:rsidRPr="00304642">
        <w:t xml:space="preserve">The smartsheet administrator will check-box this </w:t>
      </w:r>
      <w:r w:rsidR="00257F7A" w:rsidRPr="00304642">
        <w:t>column</w:t>
      </w:r>
      <w:r w:rsidRPr="00304642">
        <w:t xml:space="preserve"> when</w:t>
      </w:r>
      <w:r w:rsidR="00257F7A" w:rsidRPr="00304642">
        <w:t xml:space="preserve"> purchasing and payment actions for the row are completed. </w:t>
      </w:r>
    </w:p>
    <w:p w:rsidR="008B6689" w:rsidRPr="00304642" w:rsidRDefault="008B6689" w:rsidP="00C34B98">
      <w:pPr>
        <w:pStyle w:val="rxeInstructionText"/>
      </w:pPr>
      <w:r>
        <w:t>Ignore all other columns after the Complete column.</w:t>
      </w:r>
    </w:p>
    <w:p w:rsidR="006C5DF6" w:rsidRDefault="006C5DF6" w:rsidP="00C34B98">
      <w:pPr>
        <w:pStyle w:val="rxeInstructionText"/>
      </w:pPr>
      <w:r>
        <w:br w:type="page"/>
      </w:r>
    </w:p>
    <w:p w:rsidR="00947BC4" w:rsidRPr="00743244" w:rsidRDefault="00B75DFE" w:rsidP="00BE4997">
      <w:pPr>
        <w:pStyle w:val="IntenseQuote"/>
      </w:pPr>
      <w:bookmarkStart w:id="10" w:name="_To_request_a_1"/>
      <w:bookmarkStart w:id="11" w:name="_Toc413397056"/>
      <w:bookmarkStart w:id="12" w:name="ChargeBack"/>
      <w:bookmarkEnd w:id="10"/>
      <w:r>
        <w:lastRenderedPageBreak/>
        <w:t>To Request a C</w:t>
      </w:r>
      <w:r w:rsidR="002D130D" w:rsidRPr="00743244">
        <w:t>harge</w:t>
      </w:r>
      <w:r>
        <w:t>-</w:t>
      </w:r>
      <w:r w:rsidR="00F331E0">
        <w:t>back</w:t>
      </w:r>
      <w:bookmarkEnd w:id="11"/>
    </w:p>
    <w:bookmarkEnd w:id="12"/>
    <w:p w:rsidR="00463E79" w:rsidRPr="00304642" w:rsidRDefault="00463E79" w:rsidP="00C34B98">
      <w:pPr>
        <w:pStyle w:val="rxeInstructionText"/>
      </w:pPr>
      <w:r w:rsidRPr="00304642">
        <w:t>Charge-backs are entered similar</w:t>
      </w:r>
      <w:r w:rsidR="00041F0F">
        <w:t>ly</w:t>
      </w:r>
      <w:r w:rsidRPr="00304642">
        <w:t xml:space="preserve"> to entering an invoice for payment, except several of the fields are not applicable, </w:t>
      </w:r>
      <w:r w:rsidR="00041F0F">
        <w:t>(</w:t>
      </w:r>
      <w:r w:rsidRPr="00304642">
        <w:t xml:space="preserve">and are not listed </w:t>
      </w:r>
      <w:r w:rsidR="004618F8" w:rsidRPr="00304642">
        <w:t>below</w:t>
      </w:r>
      <w:r w:rsidR="00041F0F">
        <w:t>)</w:t>
      </w:r>
      <w:r w:rsidRPr="00304642">
        <w:t xml:space="preserve">. The smartsheet administrator will enter </w:t>
      </w:r>
      <w:r w:rsidRPr="00304642">
        <w:rPr>
          <w:rFonts w:ascii="Courier New" w:hAnsi="Courier New" w:cs="Courier New"/>
        </w:rPr>
        <w:t>NA</w:t>
      </w:r>
      <w:r w:rsidRPr="00304642">
        <w:t xml:space="preserve"> in those fields.</w:t>
      </w:r>
    </w:p>
    <w:p w:rsidR="00463E79" w:rsidRPr="00F61537" w:rsidRDefault="00463E79" w:rsidP="007434D4">
      <w:pPr>
        <w:pStyle w:val="Subtitle"/>
      </w:pPr>
      <w:r w:rsidRPr="00F61537">
        <w:t>[</w:t>
      </w:r>
      <w:r w:rsidR="00D95BD5">
        <w:t>Row</w:t>
      </w:r>
      <w:r w:rsidRPr="00F61537">
        <w:t>-</w:t>
      </w:r>
      <w:r w:rsidR="00D95BD5">
        <w:t>ID</w:t>
      </w:r>
      <w:r w:rsidRPr="00F61537">
        <w:t>]</w:t>
      </w:r>
    </w:p>
    <w:p w:rsidR="00463E79" w:rsidRDefault="00463E79" w:rsidP="00C34B98">
      <w:pPr>
        <w:pStyle w:val="rxeInstructionText"/>
      </w:pPr>
      <w:r w:rsidRPr="00304642">
        <w:t xml:space="preserve">The column is an auto number; it is sequentially assigned by the system. Users cannot edit it. It will never change. It is a </w:t>
      </w:r>
      <w:r w:rsidR="00AC59CC">
        <w:t>reliable</w:t>
      </w:r>
      <w:r w:rsidRPr="00304642">
        <w:t xml:space="preserve"> way to </w:t>
      </w:r>
      <w:r w:rsidR="00AC59CC">
        <w:t>refer to</w:t>
      </w:r>
      <w:r w:rsidRPr="00304642">
        <w:t xml:space="preserve"> a specific item.</w:t>
      </w:r>
    </w:p>
    <w:p w:rsidR="00463E79" w:rsidRPr="00743244" w:rsidRDefault="00463E79" w:rsidP="00463E79">
      <w:pPr>
        <w:pStyle w:val="Subtitle"/>
      </w:pPr>
      <w:r>
        <w:t>[Requester]</w:t>
      </w:r>
    </w:p>
    <w:p w:rsidR="00463E79" w:rsidRPr="00304642" w:rsidRDefault="00463E79" w:rsidP="00C34B98">
      <w:pPr>
        <w:pStyle w:val="rxeInstructionText"/>
      </w:pPr>
      <w:r w:rsidRPr="00304642">
        <w:t xml:space="preserve">Enter your name; </w:t>
      </w:r>
      <w:r w:rsidR="00CF25F4" w:rsidRPr="00304642">
        <w:t xml:space="preserve">or </w:t>
      </w:r>
      <w:r w:rsidRPr="00304642">
        <w:t>select from the drop down list. (If you are merely entering the data for another person, fill-in the true Requester’s name.)</w:t>
      </w:r>
    </w:p>
    <w:p w:rsidR="00463E79" w:rsidRDefault="00463E79" w:rsidP="00463E79">
      <w:pPr>
        <w:pStyle w:val="Subtitle"/>
      </w:pPr>
      <w:r>
        <w:t>[Request Date]</w:t>
      </w:r>
    </w:p>
    <w:p w:rsidR="00463E79" w:rsidRPr="00304642" w:rsidRDefault="00463E79" w:rsidP="00C34B98">
      <w:pPr>
        <w:pStyle w:val="rxeInstructionText"/>
      </w:pPr>
      <w:r w:rsidRPr="00304642">
        <w:t xml:space="preserve">Fill-in the date you are entering the request. </w:t>
      </w:r>
    </w:p>
    <w:p w:rsidR="00463E79" w:rsidRDefault="00463E79" w:rsidP="00C34B98">
      <w:pPr>
        <w:pStyle w:val="rxeInstructionText"/>
      </w:pPr>
      <w:r w:rsidRPr="00304642">
        <w:rPr>
          <w:i/>
        </w:rPr>
        <w:t>Shortcuts</w:t>
      </w:r>
      <w:r w:rsidRPr="00304642">
        <w:t xml:space="preserve">:  Just type “T” and smartsheet will enter the current day’s date, or type the date and smartsheet will </w:t>
      </w:r>
      <w:r w:rsidR="00041F0F">
        <w:t>assume</w:t>
      </w:r>
      <w:r w:rsidRPr="00304642">
        <w:t xml:space="preserve"> the current month and year for you.</w:t>
      </w:r>
    </w:p>
    <w:p w:rsidR="00463E79" w:rsidRPr="00743244" w:rsidRDefault="00463E79" w:rsidP="00463E79">
      <w:pPr>
        <w:pStyle w:val="Subtitle"/>
      </w:pPr>
      <w:r>
        <w:t>[Approval Status]</w:t>
      </w:r>
    </w:p>
    <w:p w:rsidR="00463E79" w:rsidRPr="00304642" w:rsidRDefault="00463E79" w:rsidP="00C34B98">
      <w:pPr>
        <w:pStyle w:val="rxeInstructionText"/>
      </w:pPr>
      <w:r w:rsidRPr="00304642">
        <w:t xml:space="preserve">Select the drop-down status of </w:t>
      </w:r>
      <w:r w:rsidRPr="006C5DF6">
        <w:rPr>
          <w:rFonts w:ascii="Courier New" w:hAnsi="Courier New" w:cs="Courier New"/>
          <w:b/>
          <w:color w:val="0000FF"/>
        </w:rPr>
        <w:t>requested</w:t>
      </w:r>
      <w:r w:rsidRPr="00304642">
        <w:t>. This will turn the cell red indicating that an action is required by the Approver</w:t>
      </w:r>
    </w:p>
    <w:p w:rsidR="00463E79" w:rsidRPr="00304642" w:rsidRDefault="00463E79" w:rsidP="00C34B98">
      <w:pPr>
        <w:pStyle w:val="rxeInstructionText"/>
      </w:pPr>
      <w:r w:rsidRPr="00304642">
        <w:t xml:space="preserve">If later you decide to cancel the charge-back request, select </w:t>
      </w:r>
      <w:r w:rsidRPr="006C5DF6">
        <w:rPr>
          <w:rFonts w:ascii="Courier New" w:hAnsi="Courier New" w:cs="Courier New"/>
          <w:b/>
          <w:color w:val="0000FF"/>
        </w:rPr>
        <w:t>cancelled</w:t>
      </w:r>
      <w:r w:rsidRPr="00304642">
        <w:t>. This will strike-through the entire row.</w:t>
      </w:r>
    </w:p>
    <w:p w:rsidR="00A0015A" w:rsidRDefault="00463E79" w:rsidP="00C34B98">
      <w:pPr>
        <w:pStyle w:val="rxeInstructionText"/>
      </w:pPr>
      <w:r w:rsidRPr="00304642">
        <w:t xml:space="preserve">Before the charge-back can be posted, the Approver will need to set the </w:t>
      </w:r>
      <w:r w:rsidRPr="00304642">
        <w:rPr>
          <w:i/>
        </w:rPr>
        <w:t>Approval Status</w:t>
      </w:r>
      <w:r w:rsidRPr="00304642">
        <w:t xml:space="preserve"> to </w:t>
      </w:r>
      <w:r w:rsidRPr="006C5DF6">
        <w:rPr>
          <w:rFonts w:ascii="Courier New" w:hAnsi="Courier New" w:cs="Courier New"/>
          <w:b/>
          <w:color w:val="0000FF"/>
        </w:rPr>
        <w:t>approved</w:t>
      </w:r>
      <w:r w:rsidRPr="00304642">
        <w:t>. The User ID/date/time stamp will be checked prior to the journal entry being posted.</w:t>
      </w:r>
    </w:p>
    <w:p w:rsidR="00463E79" w:rsidRPr="00743244" w:rsidRDefault="00463E79" w:rsidP="00463E79">
      <w:pPr>
        <w:pStyle w:val="Subtitle"/>
      </w:pPr>
      <w:r>
        <w:t>[Approver]</w:t>
      </w:r>
    </w:p>
    <w:p w:rsidR="00463E79" w:rsidRPr="00304642" w:rsidRDefault="00463E79" w:rsidP="00C34B98">
      <w:pPr>
        <w:pStyle w:val="rxeInstructionText"/>
      </w:pPr>
      <w:r w:rsidRPr="00304642">
        <w:t>Enter the name, from the drop down list, of the person who has responsibility for the index</w:t>
      </w:r>
      <w:r w:rsidR="00985888" w:rsidRPr="00304642">
        <w:t>.</w:t>
      </w:r>
    </w:p>
    <w:p w:rsidR="00463E79" w:rsidRPr="00743244" w:rsidRDefault="00463E79" w:rsidP="00463E79">
      <w:pPr>
        <w:pStyle w:val="Subtitle"/>
      </w:pPr>
      <w:r>
        <w:t>[Index]</w:t>
      </w:r>
    </w:p>
    <w:p w:rsidR="00463E79" w:rsidRPr="00304642" w:rsidRDefault="00463E79" w:rsidP="00C34B98">
      <w:pPr>
        <w:pStyle w:val="rxeInstructionText"/>
      </w:pPr>
      <w:r w:rsidRPr="00304642">
        <w:t>Enter the “index/activity code” provided by the unit being cha</w:t>
      </w:r>
      <w:r w:rsidR="0077434C">
        <w:t>rged-back. This will not be an S</w:t>
      </w:r>
      <w:r w:rsidRPr="00304642">
        <w:t>RS index; it will display in</w:t>
      </w:r>
      <w:r w:rsidRPr="00194433">
        <w:t xml:space="preserve"> red typeface</w:t>
      </w:r>
      <w:r w:rsidRPr="00304642">
        <w:t>, this is okay.</w:t>
      </w:r>
      <w:r w:rsidR="00985888" w:rsidRPr="00304642">
        <w:t xml:space="preserve"> If there are numerous indexes to charge-back to, enter “various” then attach a document with the indexes and amounts.</w:t>
      </w:r>
    </w:p>
    <w:p w:rsidR="00463E79" w:rsidRPr="00304642" w:rsidRDefault="00463E79" w:rsidP="00C34B98">
      <w:pPr>
        <w:pStyle w:val="rxeInstructionText"/>
      </w:pPr>
      <w:r w:rsidRPr="00304642">
        <w:t xml:space="preserve">Provide documentation </w:t>
      </w:r>
      <w:r w:rsidR="00041F0F">
        <w:t>as to</w:t>
      </w:r>
      <w:r w:rsidRPr="00304642">
        <w:t xml:space="preserve"> who in the other unit provided the “index/activity code” in either the </w:t>
      </w:r>
      <w:r w:rsidRPr="00304642">
        <w:rPr>
          <w:i/>
        </w:rPr>
        <w:t>Attachments</w:t>
      </w:r>
      <w:r w:rsidRPr="00304642">
        <w:t xml:space="preserve"> or the </w:t>
      </w:r>
      <w:r w:rsidRPr="00304642">
        <w:rPr>
          <w:i/>
        </w:rPr>
        <w:t>Comments</w:t>
      </w:r>
      <w:r w:rsidRPr="00304642">
        <w:t xml:space="preserve"> column</w:t>
      </w:r>
      <w:r w:rsidR="00D439A9" w:rsidRPr="00304642">
        <w:t>s.</w:t>
      </w:r>
    </w:p>
    <w:p w:rsidR="00F32A41" w:rsidRDefault="00F32A41" w:rsidP="00041F0F">
      <w:pPr>
        <w:pStyle w:val="rxeInstructionTex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F9E824" wp14:editId="604B9467">
            <wp:extent cx="2781300" cy="590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79" w:rsidRPr="00743244" w:rsidRDefault="00463E79" w:rsidP="00463E79">
      <w:pPr>
        <w:pStyle w:val="Subtitle"/>
      </w:pPr>
      <w:r>
        <w:lastRenderedPageBreak/>
        <w:t>[Vendor]</w:t>
      </w:r>
    </w:p>
    <w:p w:rsidR="00463E79" w:rsidRPr="00304642" w:rsidRDefault="00463E79" w:rsidP="00C34B98">
      <w:pPr>
        <w:pStyle w:val="rxeInstructionText"/>
      </w:pPr>
      <w:r w:rsidRPr="00304642">
        <w:t>Enter the name of the vendor whose costs are being charged-back.</w:t>
      </w:r>
    </w:p>
    <w:p w:rsidR="00463E79" w:rsidRPr="00743244" w:rsidRDefault="00463E79" w:rsidP="00463E79">
      <w:pPr>
        <w:pStyle w:val="Subtitle"/>
      </w:pPr>
      <w:r>
        <w:t>[Item Description]</w:t>
      </w:r>
    </w:p>
    <w:p w:rsidR="00D439A9" w:rsidRPr="00304642" w:rsidRDefault="00463E79" w:rsidP="00C34B98">
      <w:pPr>
        <w:pStyle w:val="rxeInstructionText"/>
      </w:pPr>
      <w:r w:rsidRPr="00304642">
        <w:t xml:space="preserve">Enter </w:t>
      </w:r>
      <w:r w:rsidR="00D439A9" w:rsidRPr="00304642">
        <w:t xml:space="preserve">“Charge-back of </w:t>
      </w:r>
      <w:r w:rsidR="00D366EB" w:rsidRPr="00304642">
        <w:t>&lt;</w:t>
      </w:r>
      <w:r w:rsidRPr="00304642">
        <w:t>item name or description</w:t>
      </w:r>
      <w:r w:rsidR="00D366EB" w:rsidRPr="00304642">
        <w:t>&gt;</w:t>
      </w:r>
      <w:r w:rsidRPr="00304642">
        <w:t xml:space="preserve">. </w:t>
      </w:r>
    </w:p>
    <w:p w:rsidR="00463E79" w:rsidRPr="00304642" w:rsidRDefault="00463E79" w:rsidP="00C34B98">
      <w:pPr>
        <w:pStyle w:val="rxeInstructionText"/>
      </w:pPr>
      <w:r w:rsidRPr="00304642">
        <w:rPr>
          <w:i/>
        </w:rPr>
        <w:t>Suggestion</w:t>
      </w:r>
      <w:r w:rsidRPr="00304642">
        <w:t xml:space="preserve">:  If you </w:t>
      </w:r>
      <w:r w:rsidR="004618F8" w:rsidRPr="00304642">
        <w:t>reserved the row beneath the initial purchase</w:t>
      </w:r>
      <w:r w:rsidR="00D439A9" w:rsidRPr="00304642">
        <w:t xml:space="preserve"> </w:t>
      </w:r>
      <w:r w:rsidR="004618F8" w:rsidRPr="00304642">
        <w:t>for the charge-bac</w:t>
      </w:r>
      <w:r w:rsidR="00F32A41" w:rsidRPr="00304642">
        <w:t>k, it will look something like this …</w:t>
      </w:r>
    </w:p>
    <w:p w:rsidR="00F32A41" w:rsidRPr="00743244" w:rsidRDefault="00F32A41" w:rsidP="002D01FC">
      <w:p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Century Schoolbook" w:hAnsi="Century Schoolbook" w:cs="GillSans"/>
          <w:sz w:val="28"/>
          <w:szCs w:val="28"/>
        </w:rPr>
      </w:pPr>
      <w:r>
        <w:rPr>
          <w:noProof/>
        </w:rPr>
        <w:drawing>
          <wp:inline distT="0" distB="0" distL="0" distR="0" wp14:anchorId="4E891FD7" wp14:editId="7D974E92">
            <wp:extent cx="5943600" cy="622300"/>
            <wp:effectExtent l="19050" t="19050" r="19050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63E79" w:rsidRPr="00743244" w:rsidRDefault="00463E79" w:rsidP="00463E79">
      <w:pPr>
        <w:pStyle w:val="Subtitle"/>
      </w:pPr>
      <w:r>
        <w:t>[Total Price]</w:t>
      </w:r>
    </w:p>
    <w:p w:rsidR="00463E79" w:rsidRDefault="00463E79" w:rsidP="00C34B98">
      <w:pPr>
        <w:pStyle w:val="rxeInstructionText"/>
      </w:pPr>
      <w:r w:rsidRPr="00304642">
        <w:t xml:space="preserve">Enter the total </w:t>
      </w:r>
      <w:r w:rsidR="008D6C5E" w:rsidRPr="00304642">
        <w:t>amount of the charge-back</w:t>
      </w:r>
      <w:r w:rsidR="00D439A9" w:rsidRPr="00304642">
        <w:t xml:space="preserve"> as a </w:t>
      </w:r>
      <w:r w:rsidR="00D439A9" w:rsidRPr="00304642">
        <w:rPr>
          <w:i/>
          <w:color w:val="FF0000"/>
        </w:rPr>
        <w:t>negative</w:t>
      </w:r>
      <w:r w:rsidRPr="00304642">
        <w:t>.</w:t>
      </w:r>
      <w:r w:rsidR="00961767">
        <w:t xml:space="preserve"> </w:t>
      </w:r>
      <w:r w:rsidR="00961767" w:rsidRPr="00304642">
        <w:t xml:space="preserve">Do not enter the dollar sign, </w:t>
      </w:r>
      <w:r w:rsidR="00961767">
        <w:t xml:space="preserve">the </w:t>
      </w:r>
      <w:r w:rsidR="00961767" w:rsidRPr="00304642">
        <w:t>cell is pre-formatted to display as dollars and cents.</w:t>
      </w:r>
    </w:p>
    <w:p w:rsidR="006C5DF6" w:rsidRPr="00743244" w:rsidRDefault="006C5DF6" w:rsidP="006C5DF6">
      <w:pPr>
        <w:pStyle w:val="Subtitle"/>
      </w:pPr>
      <w:r>
        <w:t>[Invoice Paid Date]</w:t>
      </w:r>
    </w:p>
    <w:p w:rsidR="006C5DF6" w:rsidRPr="00304642" w:rsidRDefault="006C5DF6" w:rsidP="006C5DF6">
      <w:pPr>
        <w:pStyle w:val="rxeInstructionText"/>
      </w:pPr>
      <w:r w:rsidRPr="00304642">
        <w:t xml:space="preserve">The smartsheet administrator will enter the date the charge-back journal entry is entered into Banner for payment. </w:t>
      </w:r>
    </w:p>
    <w:p w:rsidR="00463E79" w:rsidRPr="00743244" w:rsidRDefault="00463E79" w:rsidP="006C5DF6">
      <w:pPr>
        <w:pStyle w:val="Subtitle"/>
      </w:pPr>
      <w:r>
        <w:t>[Banner Doc Nbr]</w:t>
      </w:r>
    </w:p>
    <w:p w:rsidR="00463E79" w:rsidRPr="00304642" w:rsidRDefault="00463E79" w:rsidP="00C34B98">
      <w:pPr>
        <w:pStyle w:val="rxeInstructionText"/>
      </w:pPr>
      <w:r w:rsidRPr="00304642">
        <w:t>The smartsheet administrator will enter the Banner document number. Journal entries begin with a “J”. Anyone with Banner access can use the document number to look-up the document and check its status.</w:t>
      </w:r>
    </w:p>
    <w:p w:rsidR="00463E79" w:rsidRPr="00743244" w:rsidRDefault="00463E79" w:rsidP="00463E79">
      <w:pPr>
        <w:pStyle w:val="Subtitle"/>
      </w:pPr>
      <w:r>
        <w:t>[Complete]</w:t>
      </w:r>
    </w:p>
    <w:p w:rsidR="00463E79" w:rsidRDefault="00463E79" w:rsidP="00C34B98">
      <w:pPr>
        <w:pStyle w:val="rxeInstructionText"/>
      </w:pPr>
      <w:r w:rsidRPr="00304642">
        <w:t xml:space="preserve">The smartsheet administrator will check-box this column when purchasing and payment actions for the row are completed. </w:t>
      </w:r>
    </w:p>
    <w:p w:rsidR="008B6689" w:rsidRPr="00304642" w:rsidRDefault="008B6689" w:rsidP="00C34B98">
      <w:pPr>
        <w:pStyle w:val="rxeInstructionText"/>
      </w:pPr>
      <w:r>
        <w:t>Ignore all other columns after the Complete column.</w:t>
      </w:r>
    </w:p>
    <w:p w:rsidR="006C5DF6" w:rsidRDefault="006C5DF6" w:rsidP="00C34B98">
      <w:pPr>
        <w:pStyle w:val="rxeInstructionText"/>
      </w:pPr>
      <w:r>
        <w:br w:type="page"/>
      </w:r>
    </w:p>
    <w:p w:rsidR="002A4112" w:rsidRDefault="002A4112" w:rsidP="00BE4997">
      <w:pPr>
        <w:pStyle w:val="IntenseQuote"/>
      </w:pPr>
      <w:bookmarkStart w:id="13" w:name="_Toc413397057"/>
      <w:bookmarkStart w:id="14" w:name="TravelTraining"/>
      <w:r>
        <w:lastRenderedPageBreak/>
        <w:t>Travel</w:t>
      </w:r>
      <w:r w:rsidR="00F32A41">
        <w:t xml:space="preserve"> and/or</w:t>
      </w:r>
      <w:r>
        <w:t xml:space="preserve"> Training</w:t>
      </w:r>
      <w:bookmarkEnd w:id="13"/>
    </w:p>
    <w:bookmarkEnd w:id="14"/>
    <w:p w:rsidR="002A4112" w:rsidRDefault="00C13029" w:rsidP="00C34B98">
      <w:pPr>
        <w:pStyle w:val="rxeInstructionText"/>
      </w:pPr>
      <w:r w:rsidRPr="00304642">
        <w:t xml:space="preserve">Travel </w:t>
      </w:r>
      <w:r w:rsidR="00221C6C">
        <w:t xml:space="preserve">Requests and/or Travel Reimbursements do NOT belong in the Purchasing Smartsheet. Travel has its own </w:t>
      </w:r>
      <w:r w:rsidR="007E00E9">
        <w:t>unique</w:t>
      </w:r>
      <w:r w:rsidR="00221C6C">
        <w:t xml:space="preserve"> rules and procedures</w:t>
      </w:r>
      <w:r w:rsidR="008E24A6">
        <w:t xml:space="preserve">, and is </w:t>
      </w:r>
      <w:r w:rsidR="008E186D">
        <w:t>handled by FASS.</w:t>
      </w:r>
    </w:p>
    <w:p w:rsidR="00961767" w:rsidRPr="00304642" w:rsidRDefault="007E00E9" w:rsidP="00C34B98">
      <w:pPr>
        <w:pStyle w:val="rxeInstructionText"/>
      </w:pPr>
      <w:r w:rsidRPr="007E00E9">
        <w:rPr>
          <w:b/>
          <w:i/>
        </w:rPr>
        <w:t>However</w:t>
      </w:r>
      <w:r w:rsidR="008E24A6">
        <w:t xml:space="preserve"> …</w:t>
      </w:r>
      <w:r>
        <w:t xml:space="preserve"> training</w:t>
      </w:r>
      <w:r w:rsidR="006C5DF6">
        <w:t xml:space="preserve"> course</w:t>
      </w:r>
      <w:r w:rsidR="008E24A6">
        <w:t xml:space="preserve">s without </w:t>
      </w:r>
      <w:r w:rsidR="008E24A6" w:rsidRPr="008E186D">
        <w:rPr>
          <w:u w:val="single"/>
        </w:rPr>
        <w:t>any</w:t>
      </w:r>
      <w:r w:rsidR="008E24A6">
        <w:t xml:space="preserve"> travel, </w:t>
      </w:r>
      <w:r>
        <w:t>sh</w:t>
      </w:r>
      <w:r w:rsidR="008E186D">
        <w:t>ould be input to the Smartsheet, and will be paid by the SRS Business Office.</w:t>
      </w:r>
      <w:bookmarkStart w:id="15" w:name="_GoBack"/>
      <w:bookmarkEnd w:id="15"/>
    </w:p>
    <w:p w:rsidR="002A4112" w:rsidRPr="00743244" w:rsidRDefault="002A4112" w:rsidP="00BE4997">
      <w:pPr>
        <w:pStyle w:val="IntenseQuote"/>
      </w:pPr>
      <w:bookmarkStart w:id="16" w:name="_Toc413397058"/>
      <w:r>
        <w:t>Employee Reimbursements</w:t>
      </w:r>
      <w:bookmarkEnd w:id="16"/>
    </w:p>
    <w:p w:rsidR="00C13029" w:rsidRDefault="00C13029" w:rsidP="00C34B98">
      <w:pPr>
        <w:pStyle w:val="rxeInstructionText"/>
      </w:pPr>
      <w:r w:rsidRPr="00304642">
        <w:t>Employee reimbursement requests are entered on smartsheet no differently than any purc</w:t>
      </w:r>
      <w:r w:rsidR="008E24A6">
        <w:t>hasing or invoice request. The</w:t>
      </w:r>
      <w:r w:rsidRPr="00304642">
        <w:t xml:space="preserve"> </w:t>
      </w:r>
      <w:r w:rsidRPr="008B6689">
        <w:rPr>
          <w:b/>
          <w:i/>
          <w:sz w:val="28"/>
        </w:rPr>
        <w:t>original</w:t>
      </w:r>
      <w:r w:rsidRPr="008B6689">
        <w:rPr>
          <w:sz w:val="28"/>
        </w:rPr>
        <w:t xml:space="preserve"> </w:t>
      </w:r>
      <w:r w:rsidRPr="00304642">
        <w:t xml:space="preserve">receipts </w:t>
      </w:r>
      <w:r w:rsidR="008B6689">
        <w:t>must</w:t>
      </w:r>
      <w:r w:rsidR="00221C6C">
        <w:t xml:space="preserve"> be sent to the SRS Business Office along with the </w:t>
      </w:r>
      <w:r w:rsidR="006C5DF6">
        <w:t xml:space="preserve">signed </w:t>
      </w:r>
      <w:r w:rsidR="00221C6C">
        <w:t>SRS Out of Pocket Reimbursement form.</w:t>
      </w:r>
    </w:p>
    <w:p w:rsidR="006A7062" w:rsidRDefault="006A7062" w:rsidP="00C34B98">
      <w:pPr>
        <w:pStyle w:val="rxeInstructionText"/>
      </w:pPr>
    </w:p>
    <w:p w:rsidR="006A7062" w:rsidRDefault="006A7062" w:rsidP="00BE4997">
      <w:pPr>
        <w:pStyle w:val="IntenseQuote"/>
        <w:rPr>
          <w:noProof/>
        </w:rPr>
      </w:pPr>
      <w:bookmarkStart w:id="17" w:name="EmployeeReimbursements"/>
      <w:bookmarkStart w:id="18" w:name="_Toc413397059"/>
      <w:bookmarkStart w:id="19" w:name="AppendixA"/>
      <w:r>
        <w:rPr>
          <w:noProof/>
        </w:rPr>
        <w:t xml:space="preserve">Appendix A  –  </w:t>
      </w:r>
      <w:r w:rsidR="00E41D3F">
        <w:rPr>
          <w:noProof/>
        </w:rPr>
        <w:t xml:space="preserve">Attachment </w:t>
      </w:r>
      <w:r>
        <w:rPr>
          <w:noProof/>
        </w:rPr>
        <w:t>Naming Convention</w:t>
      </w:r>
      <w:bookmarkEnd w:id="17"/>
      <w:bookmarkEnd w:id="18"/>
    </w:p>
    <w:bookmarkEnd w:id="19"/>
    <w:p w:rsidR="00C34B98" w:rsidRDefault="00120652" w:rsidP="00C34B98">
      <w:pPr>
        <w:pStyle w:val="rxeInstructionText"/>
      </w:pPr>
      <w:r w:rsidRPr="00C34B98">
        <w:rPr>
          <w:b/>
        </w:rPr>
        <w:t>Invoices</w:t>
      </w:r>
      <w:r>
        <w:t xml:space="preserve"> should be named as:</w:t>
      </w:r>
      <w:r w:rsidR="00C34B98">
        <w:t xml:space="preserve">  </w:t>
      </w:r>
    </w:p>
    <w:p w:rsidR="00120652" w:rsidRDefault="00C34B98" w:rsidP="00C34B98">
      <w:pPr>
        <w:pStyle w:val="rxeInstructionText"/>
      </w:pPr>
      <w:r>
        <w:tab/>
      </w:r>
      <w:r>
        <w:tab/>
        <w:t>INV–</w:t>
      </w:r>
      <w:r w:rsidR="00120652">
        <w:t>VendorName</w:t>
      </w:r>
      <w:r>
        <w:t>–</w:t>
      </w:r>
      <w:r w:rsidR="00120652">
        <w:t>InvoiceNumber</w:t>
      </w:r>
    </w:p>
    <w:p w:rsidR="00C34B98" w:rsidRPr="00304642" w:rsidRDefault="00C34B98" w:rsidP="00C34B98">
      <w:pPr>
        <w:pStyle w:val="rxeInstructionText"/>
      </w:pPr>
      <w:r>
        <w:tab/>
      </w:r>
      <w:r>
        <w:tab/>
        <w:t>INV</w:t>
      </w:r>
      <w:r w:rsidRPr="00304642">
        <w:t>-OfficeMax-</w:t>
      </w:r>
      <w:r>
        <w:t>65115875213  (for example)</w:t>
      </w:r>
    </w:p>
    <w:p w:rsidR="006A7062" w:rsidRDefault="006A7062" w:rsidP="00C34B98">
      <w:pPr>
        <w:pStyle w:val="rxeInstructionText"/>
      </w:pPr>
    </w:p>
    <w:p w:rsidR="00C34B98" w:rsidRDefault="00C34B98" w:rsidP="00C34B98">
      <w:pPr>
        <w:pStyle w:val="rxeInstructionText"/>
      </w:pPr>
      <w:r w:rsidRPr="00BB1C9B">
        <w:rPr>
          <w:b/>
        </w:rPr>
        <w:t>Packing Slips</w:t>
      </w:r>
      <w:r>
        <w:t xml:space="preserve"> </w:t>
      </w:r>
      <w:r w:rsidR="00BB1C9B">
        <w:t>/</w:t>
      </w:r>
      <w:r>
        <w:t xml:space="preserve"> </w:t>
      </w:r>
      <w:r w:rsidRPr="00BB1C9B">
        <w:rPr>
          <w:b/>
        </w:rPr>
        <w:t>Bills of Lading</w:t>
      </w:r>
      <w:r>
        <w:t xml:space="preserve"> should be named as:</w:t>
      </w:r>
    </w:p>
    <w:p w:rsidR="00C34B98" w:rsidRDefault="00C34B98" w:rsidP="00C34B98">
      <w:pPr>
        <w:pStyle w:val="rxeInstructionText"/>
      </w:pPr>
      <w:r>
        <w:tab/>
      </w:r>
      <w:r>
        <w:tab/>
        <w:t>BOL–VendorName–ReceivedDate(yyyymmdd)</w:t>
      </w:r>
    </w:p>
    <w:p w:rsidR="00C34B98" w:rsidRPr="00304642" w:rsidRDefault="00C34B98" w:rsidP="00C34B98">
      <w:pPr>
        <w:pStyle w:val="rxeInstructionText"/>
      </w:pPr>
      <w:r>
        <w:tab/>
      </w:r>
      <w:r>
        <w:tab/>
        <w:t>BOL</w:t>
      </w:r>
      <w:r w:rsidRPr="00304642">
        <w:t>-OfficeMax-</w:t>
      </w:r>
      <w:r>
        <w:t>20150315  (for example)</w:t>
      </w:r>
    </w:p>
    <w:p w:rsidR="000E3EFE" w:rsidRDefault="000E3EFE" w:rsidP="00C34B98">
      <w:pPr>
        <w:pStyle w:val="rxeInstructionText"/>
      </w:pPr>
    </w:p>
    <w:p w:rsidR="000E3EFE" w:rsidRDefault="000E3EFE" w:rsidP="000E3EFE">
      <w:pPr>
        <w:pStyle w:val="rxeInstructionText"/>
      </w:pPr>
      <w:r>
        <w:rPr>
          <w:b/>
        </w:rPr>
        <w:t>Vendor Quotes</w:t>
      </w:r>
      <w:r>
        <w:t xml:space="preserve"> should be named as:</w:t>
      </w:r>
    </w:p>
    <w:p w:rsidR="000E3EFE" w:rsidRDefault="000E3EFE" w:rsidP="000E3EFE">
      <w:pPr>
        <w:pStyle w:val="rxeInstructionText"/>
      </w:pPr>
      <w:r>
        <w:tab/>
      </w:r>
      <w:r>
        <w:tab/>
        <w:t>QUOTE–VendorName–Date or Quote#</w:t>
      </w:r>
    </w:p>
    <w:p w:rsidR="000E3EFE" w:rsidRPr="00304642" w:rsidRDefault="000E3EFE" w:rsidP="000E3EFE">
      <w:pPr>
        <w:pStyle w:val="rxeInstructionText"/>
      </w:pPr>
      <w:r>
        <w:tab/>
      </w:r>
      <w:r>
        <w:tab/>
        <w:t>QUOTE</w:t>
      </w:r>
      <w:r w:rsidRPr="00304642">
        <w:t>-</w:t>
      </w:r>
      <w:r>
        <w:t>PerkinElmer</w:t>
      </w:r>
      <w:r w:rsidRPr="00304642">
        <w:t>-</w:t>
      </w:r>
      <w:r>
        <w:t>123456  (for example)</w:t>
      </w:r>
    </w:p>
    <w:p w:rsidR="004A0542" w:rsidRDefault="004A0542" w:rsidP="00C34B98">
      <w:pPr>
        <w:pStyle w:val="rxeInstructionText"/>
      </w:pPr>
      <w:r>
        <w:br w:type="page"/>
      </w:r>
    </w:p>
    <w:p w:rsidR="00954AB3" w:rsidRDefault="00284DEB" w:rsidP="00BE4997">
      <w:pPr>
        <w:pStyle w:val="IntenseQuote"/>
        <w:rPr>
          <w:noProof/>
        </w:rPr>
      </w:pPr>
      <w:bookmarkStart w:id="20" w:name="_Toc413397060"/>
      <w:bookmarkStart w:id="21" w:name="AppendixB"/>
      <w:r>
        <w:rPr>
          <w:noProof/>
        </w:rPr>
        <w:lastRenderedPageBreak/>
        <w:t xml:space="preserve">Appendix </w:t>
      </w:r>
      <w:r w:rsidR="006A7062">
        <w:rPr>
          <w:noProof/>
        </w:rPr>
        <w:t>B</w:t>
      </w:r>
      <w:r w:rsidR="00120652">
        <w:rPr>
          <w:noProof/>
        </w:rPr>
        <w:t xml:space="preserve">  –  Field List / Quick Reference</w:t>
      </w:r>
      <w:bookmarkEnd w:id="20"/>
    </w:p>
    <w:bookmarkEnd w:id="21"/>
    <w:p w:rsidR="00284DEB" w:rsidRPr="00304642" w:rsidRDefault="004B1EA4" w:rsidP="002D130D">
      <w:pPr>
        <w:rPr>
          <w:rFonts w:ascii="Century Schoolbook" w:hAnsi="Century Schoolbook"/>
          <w:sz w:val="26"/>
          <w:szCs w:val="26"/>
        </w:rPr>
      </w:pPr>
      <w:r w:rsidRPr="004B1EA4">
        <w:rPr>
          <w:noProof/>
        </w:rPr>
        <w:drawing>
          <wp:inline distT="0" distB="0" distL="0" distR="0">
            <wp:extent cx="5943600" cy="681639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DEB" w:rsidRPr="00304642" w:rsidSect="00DD72DA">
      <w:footerReference w:type="default" r:id="rId12"/>
      <w:pgSz w:w="12240" w:h="15840"/>
      <w:pgMar w:top="900" w:right="1440" w:bottom="126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CB" w:rsidRDefault="003F6ACB" w:rsidP="00357D95">
      <w:pPr>
        <w:spacing w:line="240" w:lineRule="auto"/>
      </w:pPr>
      <w:r>
        <w:separator/>
      </w:r>
    </w:p>
    <w:p w:rsidR="00CE13DE" w:rsidRDefault="00CE13DE"/>
  </w:endnote>
  <w:endnote w:type="continuationSeparator" w:id="0">
    <w:p w:rsidR="003F6ACB" w:rsidRDefault="003F6ACB" w:rsidP="00357D95">
      <w:pPr>
        <w:spacing w:line="240" w:lineRule="auto"/>
      </w:pPr>
      <w:r>
        <w:continuationSeparator/>
      </w:r>
    </w:p>
    <w:p w:rsidR="00CE13DE" w:rsidRDefault="00CE1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357D95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357D95" w:rsidRDefault="00357D9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357D95" w:rsidRDefault="00357D9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57D9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964430525"/>
          <w:placeholder>
            <w:docPart w:val="86B97758E8E147F1B769642190C6D96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57D95" w:rsidRDefault="00DD72DA" w:rsidP="008B6689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Purchasing instructions vers </w:t>
              </w:r>
              <w:r w:rsidR="00A204C1">
                <w:rPr>
                  <w:caps/>
                  <w:color w:val="808080" w:themeColor="background1" w:themeShade="80"/>
                  <w:sz w:val="18"/>
                  <w:szCs w:val="18"/>
                </w:rPr>
                <w:t>2/2018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57D95" w:rsidRDefault="00357D9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E186D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57D95" w:rsidRDefault="00357D95" w:rsidP="00770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CB" w:rsidRDefault="003F6ACB" w:rsidP="00357D95">
      <w:pPr>
        <w:spacing w:line="240" w:lineRule="auto"/>
      </w:pPr>
      <w:r>
        <w:separator/>
      </w:r>
    </w:p>
    <w:p w:rsidR="00CE13DE" w:rsidRDefault="00CE13DE"/>
  </w:footnote>
  <w:footnote w:type="continuationSeparator" w:id="0">
    <w:p w:rsidR="003F6ACB" w:rsidRDefault="003F6ACB" w:rsidP="00357D95">
      <w:pPr>
        <w:spacing w:line="240" w:lineRule="auto"/>
      </w:pPr>
      <w:r>
        <w:continuationSeparator/>
      </w:r>
    </w:p>
    <w:p w:rsidR="00CE13DE" w:rsidRDefault="00CE13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0D"/>
    <w:rsid w:val="000104E9"/>
    <w:rsid w:val="00041F0F"/>
    <w:rsid w:val="000462B0"/>
    <w:rsid w:val="00046B66"/>
    <w:rsid w:val="000A263D"/>
    <w:rsid w:val="000A5687"/>
    <w:rsid w:val="000B0FAF"/>
    <w:rsid w:val="000B46DE"/>
    <w:rsid w:val="000D45EE"/>
    <w:rsid w:val="000E0042"/>
    <w:rsid w:val="000E3EFE"/>
    <w:rsid w:val="001146DB"/>
    <w:rsid w:val="001162FA"/>
    <w:rsid w:val="001169D5"/>
    <w:rsid w:val="00117A60"/>
    <w:rsid w:val="00120652"/>
    <w:rsid w:val="001339E1"/>
    <w:rsid w:val="00135810"/>
    <w:rsid w:val="0013710F"/>
    <w:rsid w:val="00187215"/>
    <w:rsid w:val="00194433"/>
    <w:rsid w:val="00194AA4"/>
    <w:rsid w:val="002163DE"/>
    <w:rsid w:val="00221C6C"/>
    <w:rsid w:val="00247BF7"/>
    <w:rsid w:val="00254E74"/>
    <w:rsid w:val="00257F7A"/>
    <w:rsid w:val="00261541"/>
    <w:rsid w:val="002639FF"/>
    <w:rsid w:val="00276B11"/>
    <w:rsid w:val="00284DEB"/>
    <w:rsid w:val="002A4112"/>
    <w:rsid w:val="002B0B95"/>
    <w:rsid w:val="002D01FC"/>
    <w:rsid w:val="002D0B3A"/>
    <w:rsid w:val="002D130D"/>
    <w:rsid w:val="002D3EE7"/>
    <w:rsid w:val="002D3F10"/>
    <w:rsid w:val="002F64A7"/>
    <w:rsid w:val="00301D71"/>
    <w:rsid w:val="00304642"/>
    <w:rsid w:val="00307F1B"/>
    <w:rsid w:val="00332520"/>
    <w:rsid w:val="003343FF"/>
    <w:rsid w:val="00357D95"/>
    <w:rsid w:val="0036084E"/>
    <w:rsid w:val="003940A7"/>
    <w:rsid w:val="003A6D42"/>
    <w:rsid w:val="003B3B72"/>
    <w:rsid w:val="003C7362"/>
    <w:rsid w:val="003F6ACB"/>
    <w:rsid w:val="004618F8"/>
    <w:rsid w:val="00463E79"/>
    <w:rsid w:val="0047091D"/>
    <w:rsid w:val="00495516"/>
    <w:rsid w:val="004A0542"/>
    <w:rsid w:val="004B1EA4"/>
    <w:rsid w:val="004C6C56"/>
    <w:rsid w:val="004E792E"/>
    <w:rsid w:val="005245FE"/>
    <w:rsid w:val="0054095A"/>
    <w:rsid w:val="0057059D"/>
    <w:rsid w:val="005A25A6"/>
    <w:rsid w:val="005B3828"/>
    <w:rsid w:val="00600A95"/>
    <w:rsid w:val="00627527"/>
    <w:rsid w:val="00652729"/>
    <w:rsid w:val="00675895"/>
    <w:rsid w:val="006967D1"/>
    <w:rsid w:val="006A7062"/>
    <w:rsid w:val="006C30D1"/>
    <w:rsid w:val="006C3FE2"/>
    <w:rsid w:val="006C5DF6"/>
    <w:rsid w:val="00720855"/>
    <w:rsid w:val="0072127B"/>
    <w:rsid w:val="00743244"/>
    <w:rsid w:val="007434D4"/>
    <w:rsid w:val="007648F9"/>
    <w:rsid w:val="00767623"/>
    <w:rsid w:val="007708E8"/>
    <w:rsid w:val="0077434C"/>
    <w:rsid w:val="007755ED"/>
    <w:rsid w:val="00797F8C"/>
    <w:rsid w:val="007A5C0B"/>
    <w:rsid w:val="007E00E9"/>
    <w:rsid w:val="007F63CF"/>
    <w:rsid w:val="00801960"/>
    <w:rsid w:val="00802FE7"/>
    <w:rsid w:val="008308E1"/>
    <w:rsid w:val="008B1D70"/>
    <w:rsid w:val="008B6689"/>
    <w:rsid w:val="008C2122"/>
    <w:rsid w:val="008C448E"/>
    <w:rsid w:val="008D5769"/>
    <w:rsid w:val="008D6C5E"/>
    <w:rsid w:val="008E186D"/>
    <w:rsid w:val="008E24A6"/>
    <w:rsid w:val="008E631F"/>
    <w:rsid w:val="00946D43"/>
    <w:rsid w:val="00954AB3"/>
    <w:rsid w:val="00961767"/>
    <w:rsid w:val="00985888"/>
    <w:rsid w:val="009C32E3"/>
    <w:rsid w:val="009E65EE"/>
    <w:rsid w:val="00A0015A"/>
    <w:rsid w:val="00A204C1"/>
    <w:rsid w:val="00A44A15"/>
    <w:rsid w:val="00A53AFD"/>
    <w:rsid w:val="00A643F8"/>
    <w:rsid w:val="00A92055"/>
    <w:rsid w:val="00AA52FA"/>
    <w:rsid w:val="00AB66A8"/>
    <w:rsid w:val="00AC59CC"/>
    <w:rsid w:val="00AE7607"/>
    <w:rsid w:val="00AF3966"/>
    <w:rsid w:val="00AF3FD4"/>
    <w:rsid w:val="00B325B3"/>
    <w:rsid w:val="00B75DFE"/>
    <w:rsid w:val="00BA1398"/>
    <w:rsid w:val="00BB1C9B"/>
    <w:rsid w:val="00BB5146"/>
    <w:rsid w:val="00BE4997"/>
    <w:rsid w:val="00C1269B"/>
    <w:rsid w:val="00C13029"/>
    <w:rsid w:val="00C34B98"/>
    <w:rsid w:val="00C54E19"/>
    <w:rsid w:val="00CA7FA8"/>
    <w:rsid w:val="00CB7122"/>
    <w:rsid w:val="00CE13DE"/>
    <w:rsid w:val="00CF25F4"/>
    <w:rsid w:val="00D00BC1"/>
    <w:rsid w:val="00D22AA5"/>
    <w:rsid w:val="00D26233"/>
    <w:rsid w:val="00D366D6"/>
    <w:rsid w:val="00D366EB"/>
    <w:rsid w:val="00D439A9"/>
    <w:rsid w:val="00D95BD5"/>
    <w:rsid w:val="00D97199"/>
    <w:rsid w:val="00DD2DBE"/>
    <w:rsid w:val="00DD72DA"/>
    <w:rsid w:val="00DE6228"/>
    <w:rsid w:val="00E0216F"/>
    <w:rsid w:val="00E20F9C"/>
    <w:rsid w:val="00E41D3F"/>
    <w:rsid w:val="00E56035"/>
    <w:rsid w:val="00E922AE"/>
    <w:rsid w:val="00E92F1C"/>
    <w:rsid w:val="00EC1417"/>
    <w:rsid w:val="00F11BA8"/>
    <w:rsid w:val="00F32A41"/>
    <w:rsid w:val="00F331E0"/>
    <w:rsid w:val="00F37C2F"/>
    <w:rsid w:val="00F61537"/>
    <w:rsid w:val="00F67814"/>
    <w:rsid w:val="00F73E1F"/>
    <w:rsid w:val="00F95C2A"/>
    <w:rsid w:val="00FA3460"/>
    <w:rsid w:val="00FE157A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DB8284"/>
  <w15:docId w15:val="{19AAD6A4-C4C2-47BC-A542-BDB03942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DB"/>
    <w:pPr>
      <w:spacing w:after="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0B0F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7362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F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362"/>
    <w:rPr>
      <w:rFonts w:asciiTheme="majorHAnsi" w:eastAsiaTheme="majorEastAsia" w:hAnsiTheme="majorHAnsi" w:cstheme="majorBidi"/>
      <w:i/>
      <w:color w:val="365F91" w:themeColor="accent1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01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95"/>
  </w:style>
  <w:style w:type="paragraph" w:styleId="Footer">
    <w:name w:val="footer"/>
    <w:basedOn w:val="Normal"/>
    <w:link w:val="FooterChar"/>
    <w:uiPriority w:val="99"/>
    <w:unhideWhenUsed/>
    <w:rsid w:val="00357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9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D0B3A"/>
    <w:pPr>
      <w:numPr>
        <w:ilvl w:val="1"/>
      </w:numPr>
      <w:spacing w:before="240"/>
      <w:contextualSpacing w:val="0"/>
    </w:pPr>
    <w:rPr>
      <w:rFonts w:ascii="Courier New" w:eastAsiaTheme="minorEastAsia" w:hAnsi="Courier New" w:cs="Courier New"/>
      <w:b/>
      <w:color w:val="984806" w:themeColor="accent6" w:themeShade="8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0B3A"/>
    <w:rPr>
      <w:rFonts w:ascii="Courier New" w:eastAsiaTheme="minorEastAsia" w:hAnsi="Courier New" w:cs="Courier New"/>
      <w:b/>
      <w:color w:val="984806" w:themeColor="accent6" w:themeShade="80"/>
      <w:spacing w:val="15"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708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2060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8E8"/>
    <w:rPr>
      <w:i/>
      <w:iCs/>
      <w:color w:val="002060"/>
      <w:sz w:val="28"/>
    </w:rPr>
  </w:style>
  <w:style w:type="character" w:styleId="IntenseReference">
    <w:name w:val="Intense Reference"/>
    <w:basedOn w:val="DefaultParagraphFont"/>
    <w:uiPriority w:val="32"/>
    <w:qFormat/>
    <w:rsid w:val="00F37C2F"/>
    <w:rPr>
      <w:b/>
      <w:bCs/>
      <w:smallCaps/>
      <w:color w:val="4F81BD" w:themeColor="accent1"/>
      <w:spacing w:val="5"/>
      <w:sz w:val="24"/>
    </w:rPr>
  </w:style>
  <w:style w:type="character" w:styleId="IntenseEmphasis">
    <w:name w:val="Intense Emphasis"/>
    <w:basedOn w:val="DefaultParagraphFont"/>
    <w:uiPriority w:val="21"/>
    <w:qFormat/>
    <w:rsid w:val="007708E8"/>
    <w:rPr>
      <w:i/>
      <w:iCs/>
      <w:color w:val="002060"/>
    </w:rPr>
  </w:style>
  <w:style w:type="character" w:styleId="Emphasis">
    <w:name w:val="Emphasis"/>
    <w:basedOn w:val="DefaultParagraphFont"/>
    <w:uiPriority w:val="20"/>
    <w:qFormat/>
    <w:rsid w:val="003325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62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1F"/>
    <w:rPr>
      <w:rFonts w:ascii="Tahoma" w:hAnsi="Tahoma" w:cs="Tahoma"/>
      <w:sz w:val="16"/>
      <w:szCs w:val="16"/>
    </w:rPr>
  </w:style>
  <w:style w:type="paragraph" w:customStyle="1" w:styleId="rxeInstructionText">
    <w:name w:val="rxeInstructionText"/>
    <w:basedOn w:val="Normal"/>
    <w:link w:val="rxeInstructionTextChar"/>
    <w:autoRedefine/>
    <w:qFormat/>
    <w:rsid w:val="00C34B98"/>
    <w:pPr>
      <w:tabs>
        <w:tab w:val="left" w:pos="720"/>
        <w:tab w:val="left" w:pos="2880"/>
      </w:tabs>
      <w:autoSpaceDE w:val="0"/>
      <w:autoSpaceDN w:val="0"/>
      <w:adjustRightInd w:val="0"/>
      <w:spacing w:after="120" w:line="240" w:lineRule="auto"/>
      <w:contextualSpacing w:val="0"/>
    </w:pPr>
    <w:rPr>
      <w:rFonts w:ascii="Century Schoolbook" w:hAnsi="Century Schoolbook" w:cs="GillSans"/>
      <w:sz w:val="24"/>
      <w:szCs w:val="26"/>
    </w:rPr>
  </w:style>
  <w:style w:type="character" w:customStyle="1" w:styleId="rxeInstructionTextChar">
    <w:name w:val="rxeInstructionText Char"/>
    <w:basedOn w:val="DefaultParagraphFont"/>
    <w:link w:val="rxeInstructionText"/>
    <w:rsid w:val="00C34B98"/>
    <w:rPr>
      <w:rFonts w:ascii="Century Schoolbook" w:hAnsi="Century Schoolbook" w:cs="GillSans"/>
      <w:sz w:val="24"/>
      <w:szCs w:val="26"/>
    </w:rPr>
  </w:style>
  <w:style w:type="paragraph" w:customStyle="1" w:styleId="MyHeading">
    <w:name w:val="MyHeading"/>
    <w:basedOn w:val="IntenseQuote"/>
    <w:next w:val="Heading5"/>
    <w:link w:val="MyHeadingChar"/>
    <w:autoRedefine/>
    <w:qFormat/>
    <w:rsid w:val="004E792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997"/>
    <w:pPr>
      <w:spacing w:before="480"/>
      <w:contextualSpacing w:val="0"/>
      <w:outlineLvl w:val="9"/>
    </w:pPr>
    <w:rPr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9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yHeadingChar">
    <w:name w:val="MyHeading Char"/>
    <w:basedOn w:val="IntenseQuoteChar"/>
    <w:link w:val="MyHeading"/>
    <w:rsid w:val="004E792E"/>
    <w:rPr>
      <w:i/>
      <w:iCs/>
      <w:color w:val="002060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41D3F"/>
    <w:pPr>
      <w:tabs>
        <w:tab w:val="right" w:leader="dot" w:pos="9350"/>
      </w:tabs>
      <w:spacing w:after="100"/>
      <w:ind w:left="1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E49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B97758E8E147F1B769642190C6D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23D8-AB5F-48D0-9CD1-82C953B2D695}"/>
      </w:docPartPr>
      <w:docPartBody>
        <w:p w:rsidR="00CB7D93" w:rsidRDefault="009E2AE3" w:rsidP="009E2AE3">
          <w:pPr>
            <w:pStyle w:val="86B97758E8E147F1B769642190C6D96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E3"/>
    <w:rsid w:val="002B5EEE"/>
    <w:rsid w:val="008A1E6A"/>
    <w:rsid w:val="009E2AE3"/>
    <w:rsid w:val="00B23950"/>
    <w:rsid w:val="00CB7D93"/>
    <w:rsid w:val="00CC197F"/>
    <w:rsid w:val="00E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06E0B93D704FCFBB5002B9B9CDD659">
    <w:name w:val="8706E0B93D704FCFBB5002B9B9CDD659"/>
    <w:rsid w:val="009E2AE3"/>
  </w:style>
  <w:style w:type="paragraph" w:customStyle="1" w:styleId="1806A334B3DF4E96B66E4C3BFA5C916E">
    <w:name w:val="1806A334B3DF4E96B66E4C3BFA5C916E"/>
    <w:rsid w:val="009E2AE3"/>
  </w:style>
  <w:style w:type="character" w:styleId="PlaceholderText">
    <w:name w:val="Placeholder Text"/>
    <w:basedOn w:val="DefaultParagraphFont"/>
    <w:uiPriority w:val="99"/>
    <w:semiHidden/>
    <w:rsid w:val="009E2AE3"/>
    <w:rPr>
      <w:color w:val="808080"/>
    </w:rPr>
  </w:style>
  <w:style w:type="paragraph" w:customStyle="1" w:styleId="86B97758E8E147F1B769642190C6D96B">
    <w:name w:val="86B97758E8E147F1B769642190C6D96B"/>
    <w:rsid w:val="009E2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273F-31C5-45D1-993E-2E5BCF32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Purchasing instructions vers 2/2018</dc:creator>
  <cp:lastModifiedBy>Robilyn Eggertsen</cp:lastModifiedBy>
  <cp:revision>4</cp:revision>
  <cp:lastPrinted>2017-07-05T20:47:00Z</cp:lastPrinted>
  <dcterms:created xsi:type="dcterms:W3CDTF">2018-02-28T21:58:00Z</dcterms:created>
  <dcterms:modified xsi:type="dcterms:W3CDTF">2018-03-01T18:12:00Z</dcterms:modified>
</cp:coreProperties>
</file>