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57"/>
        <w:rPr>
          <w:rFonts w:ascii="Times New Roman"/>
          <w:sz w:val="14"/>
        </w:rPr>
      </w:pPr>
    </w:p>
    <w:p>
      <w:pPr>
        <w:spacing w:line="160" w:lineRule="exact" w:before="0"/>
        <w:ind w:left="0" w:right="10514" w:firstLine="0"/>
        <w:jc w:val="center"/>
        <w:rPr>
          <w:sz w:val="14"/>
        </w:rPr>
      </w:pPr>
      <w:r>
        <w:rPr>
          <w:spacing w:val="-2"/>
          <w:sz w:val="14"/>
        </w:rPr>
        <w:t>ISSUE</w:t>
      </w:r>
    </w:p>
    <w:p>
      <w:pPr>
        <w:pStyle w:val="Title"/>
      </w:pPr>
      <w:r>
        <w:rPr>
          <w:color w:val="FFFFFF"/>
          <w:spacing w:val="-5"/>
        </w:rPr>
        <w:t>03</w:t>
      </w:r>
    </w:p>
    <w:p>
      <w:pPr>
        <w:spacing w:before="2"/>
        <w:ind w:left="707" w:right="11220" w:hanging="3"/>
        <w:jc w:val="center"/>
        <w:rPr>
          <w:sz w:val="14"/>
        </w:rPr>
      </w:pPr>
      <w:r>
        <w:rPr>
          <w:spacing w:val="-4"/>
          <w:sz w:val="14"/>
        </w:rPr>
        <w:t>June</w:t>
      </w:r>
      <w:r>
        <w:rPr>
          <w:spacing w:val="40"/>
          <w:sz w:val="14"/>
        </w:rPr>
        <w:t> </w:t>
      </w:r>
      <w:r>
        <w:rPr>
          <w:spacing w:val="-4"/>
          <w:sz w:val="14"/>
        </w:rPr>
        <w:t>2025</w:t>
      </w:r>
    </w:p>
    <w:p>
      <w:pPr>
        <w:pStyle w:val="BodyText"/>
        <w:rPr>
          <w:sz w:val="32"/>
        </w:rPr>
      </w:pPr>
    </w:p>
    <w:p>
      <w:pPr>
        <w:pStyle w:val="BodyText"/>
        <w:spacing w:before="86"/>
        <w:rPr>
          <w:sz w:val="32"/>
        </w:rPr>
      </w:pPr>
    </w:p>
    <w:p>
      <w:pPr>
        <w:spacing w:before="0"/>
        <w:ind w:left="0" w:right="0" w:firstLine="0"/>
        <w:jc w:val="center"/>
        <w:rPr>
          <w:b/>
          <w:sz w:val="32"/>
        </w:rPr>
      </w:pPr>
      <w:r>
        <w:rPr>
          <w:b/>
          <w:color w:val="231F20"/>
          <w:sz w:val="32"/>
        </w:rPr>
        <w:t>Laboratory</w:t>
      </w:r>
      <w:r>
        <w:rPr>
          <w:b/>
          <w:color w:val="231F20"/>
          <w:spacing w:val="-3"/>
          <w:sz w:val="32"/>
        </w:rPr>
        <w:t> </w:t>
      </w:r>
      <w:r>
        <w:rPr>
          <w:b/>
          <w:color w:val="231F20"/>
          <w:sz w:val="32"/>
        </w:rPr>
        <w:t>Safety</w:t>
      </w:r>
      <w:r>
        <w:rPr>
          <w:b/>
          <w:color w:val="231F20"/>
          <w:spacing w:val="-3"/>
          <w:sz w:val="32"/>
        </w:rPr>
        <w:t> </w:t>
      </w:r>
      <w:r>
        <w:rPr>
          <w:b/>
          <w:color w:val="231F20"/>
          <w:sz w:val="32"/>
        </w:rPr>
        <w:t>Compliance:</w:t>
      </w:r>
      <w:r>
        <w:rPr>
          <w:b/>
          <w:color w:val="231F20"/>
          <w:spacing w:val="-3"/>
          <w:sz w:val="32"/>
        </w:rPr>
        <w:t> </w:t>
      </w:r>
      <w:r>
        <w:rPr>
          <w:b/>
          <w:color w:val="231F20"/>
          <w:sz w:val="32"/>
        </w:rPr>
        <w:t>Most</w:t>
      </w:r>
      <w:r>
        <w:rPr>
          <w:b/>
          <w:color w:val="231F20"/>
          <w:spacing w:val="-2"/>
          <w:sz w:val="32"/>
        </w:rPr>
        <w:t> </w:t>
      </w:r>
      <w:r>
        <w:rPr>
          <w:b/>
          <w:color w:val="231F20"/>
          <w:sz w:val="32"/>
        </w:rPr>
        <w:t>Cited</w:t>
      </w:r>
      <w:r>
        <w:rPr>
          <w:b/>
          <w:color w:val="231F20"/>
          <w:spacing w:val="-3"/>
          <w:sz w:val="32"/>
        </w:rPr>
        <w:t> </w:t>
      </w:r>
      <w:r>
        <w:rPr>
          <w:b/>
          <w:color w:val="231F20"/>
          <w:sz w:val="32"/>
        </w:rPr>
        <w:t>Issues</w:t>
      </w:r>
      <w:r>
        <w:rPr>
          <w:b/>
          <w:color w:val="231F20"/>
          <w:spacing w:val="-3"/>
          <w:sz w:val="32"/>
        </w:rPr>
        <w:t> </w:t>
      </w:r>
      <w:r>
        <w:rPr>
          <w:b/>
          <w:color w:val="231F20"/>
          <w:sz w:val="32"/>
        </w:rPr>
        <w:t>in</w:t>
      </w:r>
      <w:r>
        <w:rPr>
          <w:b/>
          <w:color w:val="231F20"/>
          <w:spacing w:val="-2"/>
          <w:sz w:val="32"/>
        </w:rPr>
        <w:t> </w:t>
      </w:r>
      <w:r>
        <w:rPr>
          <w:b/>
          <w:color w:val="231F20"/>
          <w:spacing w:val="-4"/>
          <w:sz w:val="32"/>
        </w:rPr>
        <w:t>2024</w:t>
      </w:r>
    </w:p>
    <w:p>
      <w:pPr>
        <w:spacing w:line="249" w:lineRule="auto" w:before="48"/>
        <w:ind w:left="180" w:right="14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-3177</wp:posOffset>
                </wp:positionH>
                <wp:positionV relativeFrom="paragraph">
                  <wp:posOffset>709029</wp:posOffset>
                </wp:positionV>
                <wp:extent cx="7781290" cy="11277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781290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24" w:val="left" w:leader="none"/>
                              </w:tabs>
                              <w:spacing w:before="78"/>
                              <w:ind w:left="18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1.)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Documented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Found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48%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Inspections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ab/>
                              <w:t>2.)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Eyewash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Flushed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Weekly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Found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35%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  <w:p>
                            <w:pPr>
                              <w:tabs>
                                <w:tab w:pos="6124" w:val="left" w:leader="none"/>
                              </w:tabs>
                              <w:spacing w:line="226" w:lineRule="exact" w:before="5"/>
                              <w:ind w:left="185" w:right="0" w:firstLine="0"/>
                              <w:jc w:val="left"/>
                              <w:rPr>
                                <w:b/>
                                <w:position w:val="-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Reference: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OSHA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(29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CFR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1910.1450),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Oregon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position w:val="-1"/>
                                <w:sz w:val="20"/>
                              </w:rPr>
                              <w:t>Inspections</w:t>
                            </w:r>
                          </w:p>
                          <w:p>
                            <w:pPr>
                              <w:tabs>
                                <w:tab w:pos="6124" w:val="left" w:leader="none"/>
                              </w:tabs>
                              <w:spacing w:line="214" w:lineRule="exact" w:before="0"/>
                              <w:ind w:left="185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OSHA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(OAR) 437-001-0760, OAR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437-002-0360, UO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position w:val="2"/>
                                <w:sz w:val="18"/>
                              </w:rPr>
                              <w:t>Policy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Reference: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ANSI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Z358.1-2014,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OAR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437-002-0161,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OAR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437-004-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</w:rPr>
                              <w:t>1305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6124" w:val="left" w:leader="none"/>
                              </w:tabs>
                              <w:spacing w:line="230" w:lineRule="auto"/>
                              <w:ind w:left="185" w:right="252"/>
                            </w:pPr>
                            <w:r>
                              <w:rPr>
                                <w:color w:val="231F20"/>
                              </w:rPr>
                              <w:t>Documentation of safety training is essential to demonstrate that all lab</w:t>
                              <w:tab/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Eyewash stations must be flushed weekly to ensure they are functioning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personnel are prepared to handle hazards appropriately. Without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properly and supply clean water in the event of an emergency. This task, 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records, labs cannot show compliance or institutional safety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though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overlooked,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critical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part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emergency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preparedness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and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2"/>
                              </w:rPr>
                              <w:t>expectations.</w:t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required for regulatory compliance.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-.2502pt;margin-top:55.829086pt;width:612.7pt;height:88.8pt;mso-position-horizontal-relative:page;mso-position-vertical-relative:paragraph;z-index:15730688" type="#_x0000_t202" id="docshape1" filled="false" stroked="false">
                <v:textbox inset="0,0,0,0">
                  <w:txbxContent>
                    <w:p>
                      <w:pPr>
                        <w:tabs>
                          <w:tab w:pos="6124" w:val="left" w:leader="none"/>
                        </w:tabs>
                        <w:spacing w:before="78"/>
                        <w:ind w:left="18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1.)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Training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Not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Documented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Found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48%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Inspections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ab/>
                        <w:t>2.)</w:t>
                      </w:r>
                      <w:r>
                        <w:rPr>
                          <w:b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Eyewash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Not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Flushed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Weekly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Found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35%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>of</w:t>
                      </w:r>
                    </w:p>
                    <w:p>
                      <w:pPr>
                        <w:tabs>
                          <w:tab w:pos="6124" w:val="left" w:leader="none"/>
                        </w:tabs>
                        <w:spacing w:line="226" w:lineRule="exact" w:before="5"/>
                        <w:ind w:left="185" w:right="0" w:firstLine="0"/>
                        <w:jc w:val="left"/>
                        <w:rPr>
                          <w:b/>
                          <w:position w:val="-1"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Reference: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OSHA</w:t>
                      </w:r>
                      <w:r>
                        <w:rPr>
                          <w:i/>
                          <w:color w:val="231F2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Laboratory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Standard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(29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CFR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1910.1450),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Oregon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2"/>
                          <w:position w:val="-1"/>
                          <w:sz w:val="20"/>
                        </w:rPr>
                        <w:t>Inspections</w:t>
                      </w:r>
                    </w:p>
                    <w:p>
                      <w:pPr>
                        <w:tabs>
                          <w:tab w:pos="6124" w:val="left" w:leader="none"/>
                        </w:tabs>
                        <w:spacing w:line="214" w:lineRule="exact" w:before="0"/>
                        <w:ind w:left="185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OSHA</w:t>
                      </w:r>
                      <w:r>
                        <w:rPr>
                          <w:i/>
                          <w:color w:val="231F20"/>
                          <w:spacing w:val="-8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(OAR) 437-001-0760, OAR</w:t>
                      </w:r>
                      <w:r>
                        <w:rPr>
                          <w:i/>
                          <w:color w:val="231F20"/>
                          <w:spacing w:val="-1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437-002-0360, UO </w:t>
                      </w:r>
                      <w:r>
                        <w:rPr>
                          <w:i/>
                          <w:color w:val="231F20"/>
                          <w:spacing w:val="-2"/>
                          <w:position w:val="2"/>
                          <w:sz w:val="18"/>
                        </w:rPr>
                        <w:t>Policy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ab/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Reference:</w:t>
                      </w:r>
                      <w:r>
                        <w:rPr>
                          <w:i/>
                          <w:color w:val="231F2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ANSI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Z358.1-2014,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OAR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437-002-0161,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OAR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437-004-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</w:rPr>
                        <w:t>1305</w:t>
                      </w:r>
                    </w:p>
                    <w:p>
                      <w:pPr>
                        <w:pStyle w:val="BodyText"/>
                        <w:tabs>
                          <w:tab w:pos="6124" w:val="left" w:leader="none"/>
                        </w:tabs>
                        <w:spacing w:line="230" w:lineRule="auto"/>
                        <w:ind w:left="185" w:right="252"/>
                      </w:pPr>
                      <w:r>
                        <w:rPr>
                          <w:color w:val="231F20"/>
                        </w:rPr>
                        <w:t>Documentation of safety training is essential to demonstrate that all lab</w:t>
                        <w:tab/>
                      </w:r>
                      <w:r>
                        <w:rPr>
                          <w:color w:val="231F20"/>
                          <w:position w:val="-1"/>
                        </w:rPr>
                        <w:t>Eyewash stations must be flushed weekly to ensure they are functioning </w:t>
                      </w:r>
                      <w:r>
                        <w:rPr>
                          <w:color w:val="231F20"/>
                          <w:position w:val="2"/>
                        </w:rPr>
                        <w:t>personnel are prepared to handle hazards appropriately. Without</w:t>
                        <w:tab/>
                      </w:r>
                      <w:r>
                        <w:rPr>
                          <w:color w:val="231F20"/>
                        </w:rPr>
                        <w:t>properly and supply clean water in the event of an emergency. This task, </w:t>
                      </w:r>
                      <w:r>
                        <w:rPr>
                          <w:color w:val="231F20"/>
                          <w:position w:val="2"/>
                        </w:rPr>
                        <w:t>records, labs cannot show compliance or institutional safety</w:t>
                        <w:tab/>
                      </w:r>
                      <w:r>
                        <w:rPr>
                          <w:color w:val="231F20"/>
                        </w:rPr>
                        <w:t>though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often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overlooked,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critical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part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emergency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preparedness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and </w:t>
                      </w:r>
                      <w:r>
                        <w:rPr>
                          <w:color w:val="231F20"/>
                          <w:spacing w:val="-2"/>
                          <w:position w:val="2"/>
                        </w:rPr>
                        <w:t>expectations.</w:t>
                      </w:r>
                      <w:r>
                        <w:rPr>
                          <w:color w:val="231F20"/>
                          <w:position w:val="2"/>
                        </w:rPr>
                        <w:tab/>
                      </w:r>
                      <w:r>
                        <w:rPr>
                          <w:color w:val="231F20"/>
                        </w:rPr>
                        <w:t>required for regulatory compliance.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231F20"/>
          <w:sz w:val="20"/>
        </w:rPr>
        <w:t>As most of you are aware, UO EHS conducts annual safety inspections for every laboratory and art studio on campus. These</w:t>
      </w:r>
      <w:r>
        <w:rPr>
          <w:i/>
          <w:color w:val="231F20"/>
          <w:sz w:val="20"/>
        </w:rPr>
        <w:t> inspections are designed as collaborative check-ins to help you stay in compliance with university policies, regulatory requirements, and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best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practices.</w:t>
      </w:r>
      <w:r>
        <w:rPr>
          <w:i/>
          <w:color w:val="231F20"/>
          <w:spacing w:val="40"/>
          <w:sz w:val="20"/>
        </w:rPr>
        <w:t> </w:t>
      </w:r>
      <w:r>
        <w:rPr>
          <w:i/>
          <w:color w:val="231F20"/>
          <w:sz w:val="20"/>
        </w:rPr>
        <w:t>Here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are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most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frequent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issues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observed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during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2024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inspection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cycle,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along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context,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relevant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codes, and guidance for maintaining a safe and compliant lab environment.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6"/>
        <w:rPr>
          <w:i/>
          <w:sz w:val="20"/>
        </w:rPr>
      </w:pP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9" w:lineRule="auto" w:before="94" w:after="0"/>
        <w:ind w:left="180" w:right="0" w:firstLine="0"/>
        <w:jc w:val="left"/>
      </w:pPr>
      <w:r>
        <w:rPr>
          <w:color w:val="231F20"/>
        </w:rPr>
        <w:t>Hazardous</w:t>
      </w:r>
      <w:r>
        <w:rPr>
          <w:color w:val="231F20"/>
          <w:spacing w:val="-8"/>
        </w:rPr>
        <w:t> </w:t>
      </w:r>
      <w:r>
        <w:rPr>
          <w:color w:val="231F20"/>
        </w:rPr>
        <w:t>Waste</w:t>
      </w:r>
      <w:r>
        <w:rPr>
          <w:color w:val="231F20"/>
          <w:spacing w:val="-8"/>
        </w:rPr>
        <w:t> </w:t>
      </w:r>
      <w:r>
        <w:rPr>
          <w:color w:val="231F20"/>
        </w:rPr>
        <w:t>Containers</w:t>
      </w:r>
      <w:r>
        <w:rPr>
          <w:color w:val="231F20"/>
          <w:spacing w:val="-8"/>
        </w:rPr>
        <w:t> </w:t>
      </w:r>
      <w:r>
        <w:rPr>
          <w:color w:val="231F20"/>
        </w:rPr>
        <w:t>Not</w:t>
      </w:r>
      <w:r>
        <w:rPr>
          <w:color w:val="231F20"/>
          <w:spacing w:val="-8"/>
        </w:rPr>
        <w:t> </w:t>
      </w:r>
      <w:r>
        <w:rPr>
          <w:color w:val="231F20"/>
        </w:rPr>
        <w:t>Tagged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Found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34% of Inspections</w:t>
      </w:r>
    </w:p>
    <w:p>
      <w:pPr>
        <w:spacing w:line="249" w:lineRule="auto" w:before="0"/>
        <w:ind w:left="180" w:right="226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-3177</wp:posOffset>
                </wp:positionH>
                <wp:positionV relativeFrom="paragraph">
                  <wp:posOffset>884631</wp:posOffset>
                </wp:positionV>
                <wp:extent cx="7781290" cy="19373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81290" cy="1937385"/>
                          <a:chExt cx="7781290" cy="19373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7" y="8416"/>
                            <a:ext cx="7772400" cy="192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922145">
                                <a:moveTo>
                                  <a:pt x="0" y="1922119"/>
                                </a:moveTo>
                                <a:lnTo>
                                  <a:pt x="7772400" y="1922119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2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355" y="1927226"/>
                            <a:ext cx="776541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5415" h="6985">
                                <a:moveTo>
                                  <a:pt x="7765221" y="0"/>
                                </a:moveTo>
                                <a:lnTo>
                                  <a:pt x="0" y="6620"/>
                                </a:lnTo>
                                <a:lnTo>
                                  <a:pt x="776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355" y="1927226"/>
                            <a:ext cx="776541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5415" h="6985">
                                <a:moveTo>
                                  <a:pt x="0" y="6620"/>
                                </a:moveTo>
                                <a:lnTo>
                                  <a:pt x="77652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3175"/>
                            <a:ext cx="77749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4940" h="5080">
                                <a:moveTo>
                                  <a:pt x="7774609" y="0"/>
                                </a:moveTo>
                                <a:lnTo>
                                  <a:pt x="0" y="48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5" y="3175"/>
                            <a:ext cx="77749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4940" h="5080">
                                <a:moveTo>
                                  <a:pt x="0" y="4800"/>
                                </a:moveTo>
                                <a:lnTo>
                                  <a:pt x="77746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502pt;margin-top:69.655991pt;width:612.7pt;height:152.550pt;mso-position-horizontal-relative:page;mso-position-vertical-relative:paragraph;z-index:15728640" id="docshapegroup2" coordorigin="-5,1393" coordsize="12254,3051">
                <v:rect style="position:absolute;left:0;top:1406;width:12240;height:3027" id="docshape3" filled="true" fillcolor="#e2e3e4" stroked="false">
                  <v:fill type="solid"/>
                </v:rect>
                <v:shape style="position:absolute;left:11;top:4428;width:12229;height:11" id="docshape4" coordorigin="11,4428" coordsize="12229,11" path="m12240,4428l11,4439,12240,4428xe" filled="true" fillcolor="#231f20" stroked="false">
                  <v:path arrowok="t"/>
                  <v:fill type="solid"/>
                </v:shape>
                <v:line style="position:absolute" from="11,4439" to="12240,4428" stroked="true" strokeweight=".5pt" strokecolor="#231f20">
                  <v:stroke dashstyle="solid"/>
                </v:line>
                <v:shape style="position:absolute;left:0;top:1398;width:12244;height:8" id="docshape5" coordorigin="0,1398" coordsize="12244,8" path="m12243,1398l0,1406e" filled="true" fillcolor="#231f20" stroked="false">
                  <v:path arrowok="t"/>
                  <v:fill type="solid"/>
                </v:shape>
                <v:line style="position:absolute" from="0,1406" to="12243,1398" stroked="true" strokeweight=".5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-3177</wp:posOffset>
                </wp:positionH>
                <wp:positionV relativeFrom="paragraph">
                  <wp:posOffset>895781</wp:posOffset>
                </wp:positionV>
                <wp:extent cx="7781290" cy="191325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7781290" cy="191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24" w:val="left" w:leader="none"/>
                              </w:tabs>
                              <w:spacing w:line="230" w:lineRule="auto" w:before="78"/>
                              <w:ind w:left="185" w:right="380" w:firstLine="0"/>
                              <w:jc w:val="left"/>
                              <w:rPr>
                                <w:b/>
                                <w:position w:val="2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position w:val="-1"/>
                                <w:sz w:val="20"/>
                              </w:rPr>
                              <w:t>5.) Aliquoted Stock Chemicals Improperly Labeled – Found</w:t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6.)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Panels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Shut-Offs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Obstructed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Found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26% in 30% of Inspections</w:t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position w:val="2"/>
                                <w:sz w:val="20"/>
                              </w:rPr>
                              <w:t>of Inspections</w:t>
                            </w:r>
                          </w:p>
                          <w:p>
                            <w:pPr>
                              <w:tabs>
                                <w:tab w:pos="6124" w:val="left" w:leader="none"/>
                              </w:tabs>
                              <w:spacing w:line="228" w:lineRule="auto" w:before="0"/>
                              <w:ind w:left="185" w:right="188" w:firstLine="0"/>
                              <w:jc w:val="left"/>
                              <w:rPr>
                                <w:i/>
                                <w:position w:val="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Reference: Prudent Practices, Chapter 5, Section 5.D.6; Chapter 8,</w:t>
                              <w:tab/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Reference: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OSHA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CFR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1910.303(g)(1),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OAR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437-004-1610,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NFPA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70E</w:t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Section 8.B.2.2; Chapter 6, Section 6.C.3, UO Chemical Hygiene Plan,</w:t>
                              <w:tab/>
                            </w:r>
                            <w:r>
                              <w:rPr>
                                <w:i/>
                                <w:color w:val="231F20"/>
                                <w:position w:val="2"/>
                                <w:sz w:val="18"/>
                              </w:rPr>
                              <w:t>110.26A, Prudent Practices, Chapter 6, Section 6.C.3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6124" w:val="left" w:leader="none"/>
                              </w:tabs>
                              <w:spacing w:line="212" w:lineRule="exact"/>
                              <w:ind w:left="185"/>
                            </w:pPr>
                            <w:r>
                              <w:rPr>
                                <w:i/>
                                <w:color w:val="231F20"/>
                                <w:position w:val="-1"/>
                              </w:rPr>
                              <w:t>Appendix 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i/>
                                <w:color w:val="231F20"/>
                                <w:position w:val="-1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secondary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containers,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small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ones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dropper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bottles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vials,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6124" w:val="left" w:leader="none"/>
                              </w:tabs>
                              <w:spacing w:line="228" w:lineRule="auto"/>
                              <w:ind w:left="185" w:right="700"/>
                            </w:pPr>
                            <w:r>
                              <w:rPr>
                                <w:color w:val="231F20"/>
                              </w:rPr>
                              <w:t>Secondary containers, including small ones like vials or dropper bottles,</w:t>
                              <w:tab/>
                            </w:r>
                            <w:r>
                              <w:rPr>
                                <w:color w:val="231F20"/>
                                <w:position w:val="2"/>
                              </w:rPr>
                              <w:t>must be labeled with the chemical name and hazard information to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must be labeled with the chemical name and hazard information to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prevent accidental misuse and comply with labeling requirements.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prevent misuse and meet labeling requirements. For very small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However,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very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small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containers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(e.g.,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1.5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tubes)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space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6124" w:val="left" w:leader="none"/>
                              </w:tabs>
                              <w:spacing w:line="228" w:lineRule="auto"/>
                              <w:ind w:left="185" w:right="314"/>
                            </w:pPr>
                            <w:r>
                              <w:rPr>
                                <w:color w:val="231F20"/>
                                <w:position w:val="-1"/>
                              </w:rPr>
                              <w:t>containers (e.g., 1.5 mL tubes), the UO Chemical Hygiene Plan allows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constraints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full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labeling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impractical,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UO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Chemical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Hygiene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Plan 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>for numbering or coding systems, as long as a key is accessible to lab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allows for alternative labeling methods, such as numbering or coding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1"/>
                              </w:rPr>
                              <w:t>personnel.</w:t>
                            </w:r>
                            <w:r>
                              <w:rPr>
                                <w:color w:val="231F20"/>
                                <w:position w:val="-1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systems, provided that a corresponding key or reference is readily</w:t>
                            </w:r>
                          </w:p>
                          <w:p>
                            <w:pPr>
                              <w:pStyle w:val="BodyText"/>
                              <w:spacing w:line="247" w:lineRule="auto"/>
                              <w:ind w:left="6125" w:right="252"/>
                            </w:pPr>
                            <w:r>
                              <w:rPr>
                                <w:color w:val="231F20"/>
                              </w:rPr>
                              <w:t>accessible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laboratory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personnel.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1409A"/>
                              </w:rPr>
                              <w:t>Click</w:t>
                            </w:r>
                            <w:r>
                              <w:rPr>
                                <w:color w:val="21409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1409A"/>
                              </w:rPr>
                              <w:t>here</w:t>
                            </w:r>
                            <w:r>
                              <w:rPr>
                                <w:color w:val="21409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see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video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 electrical panel catching fire in the EMU.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2502pt;margin-top:70.533989pt;width:612.7pt;height:150.65pt;mso-position-horizontal-relative:page;mso-position-vertical-relative:paragraph;z-index:15730176" type="#_x0000_t202" id="docshape6" filled="false" stroked="false">
                <v:textbox inset="0,0,0,0">
                  <w:txbxContent>
                    <w:p>
                      <w:pPr>
                        <w:tabs>
                          <w:tab w:pos="6124" w:val="left" w:leader="none"/>
                        </w:tabs>
                        <w:spacing w:line="230" w:lineRule="auto" w:before="78"/>
                        <w:ind w:left="185" w:right="380" w:firstLine="0"/>
                        <w:jc w:val="left"/>
                        <w:rPr>
                          <w:b/>
                          <w:position w:val="2"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position w:val="-1"/>
                          <w:sz w:val="20"/>
                        </w:rPr>
                        <w:t>5.) Aliquoted Stock Chemicals Improperly Labeled – Found</w:t>
                        <w:tab/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6.)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Electrical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Panels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Shut-Offs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Obstructed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Found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26% in 30% of Inspections</w:t>
                        <w:tab/>
                      </w:r>
                      <w:r>
                        <w:rPr>
                          <w:b/>
                          <w:color w:val="231F20"/>
                          <w:position w:val="2"/>
                          <w:sz w:val="20"/>
                        </w:rPr>
                        <w:t>of Inspections</w:t>
                      </w:r>
                    </w:p>
                    <w:p>
                      <w:pPr>
                        <w:tabs>
                          <w:tab w:pos="6124" w:val="left" w:leader="none"/>
                        </w:tabs>
                        <w:spacing w:line="228" w:lineRule="auto" w:before="0"/>
                        <w:ind w:left="185" w:right="188" w:firstLine="0"/>
                        <w:jc w:val="left"/>
                        <w:rPr>
                          <w:i/>
                          <w:position w:val="2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Reference: Prudent Practices, Chapter 5, Section 5.D.6; Chapter 8,</w:t>
                        <w:tab/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Reference:</w:t>
                      </w:r>
                      <w:r>
                        <w:rPr>
                          <w:i/>
                          <w:color w:val="231F20"/>
                          <w:spacing w:val="-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OSHA</w:t>
                      </w:r>
                      <w:r>
                        <w:rPr>
                          <w:i/>
                          <w:color w:val="231F20"/>
                          <w:spacing w:val="-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29</w:t>
                      </w:r>
                      <w:r>
                        <w:rPr>
                          <w:i/>
                          <w:color w:val="231F20"/>
                          <w:spacing w:val="-6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CFR</w:t>
                      </w:r>
                      <w:r>
                        <w:rPr>
                          <w:i/>
                          <w:color w:val="231F20"/>
                          <w:spacing w:val="-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1910.303(g)(1),</w:t>
                      </w:r>
                      <w:r>
                        <w:rPr>
                          <w:i/>
                          <w:color w:val="231F20"/>
                          <w:spacing w:val="-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OAR</w:t>
                      </w:r>
                      <w:r>
                        <w:rPr>
                          <w:i/>
                          <w:color w:val="231F20"/>
                          <w:spacing w:val="-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437-004-1610,</w:t>
                      </w:r>
                      <w:r>
                        <w:rPr>
                          <w:i/>
                          <w:color w:val="231F20"/>
                          <w:spacing w:val="-7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NFPA</w:t>
                      </w:r>
                      <w:r>
                        <w:rPr>
                          <w:i/>
                          <w:color w:val="231F20"/>
                          <w:spacing w:val="-1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70E</w:t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Section 8.B.2.2; Chapter 6, Section 6.C.3, UO Chemical Hygiene Plan,</w:t>
                        <w:tab/>
                      </w:r>
                      <w:r>
                        <w:rPr>
                          <w:i/>
                          <w:color w:val="231F20"/>
                          <w:position w:val="2"/>
                          <w:sz w:val="18"/>
                        </w:rPr>
                        <w:t>110.26A, Prudent Practices, Chapter 6, Section 6.C.3</w:t>
                      </w:r>
                    </w:p>
                    <w:p>
                      <w:pPr>
                        <w:pStyle w:val="BodyText"/>
                        <w:tabs>
                          <w:tab w:pos="6124" w:val="left" w:leader="none"/>
                        </w:tabs>
                        <w:spacing w:line="212" w:lineRule="exact"/>
                        <w:ind w:left="185"/>
                      </w:pPr>
                      <w:r>
                        <w:rPr>
                          <w:i/>
                          <w:color w:val="231F20"/>
                          <w:position w:val="-1"/>
                        </w:rPr>
                        <w:t>Appendix </w:t>
                      </w:r>
                      <w:r>
                        <w:rPr>
                          <w:i/>
                          <w:color w:val="231F20"/>
                          <w:spacing w:val="-10"/>
                          <w:position w:val="-1"/>
                        </w:rPr>
                        <w:t>D</w:t>
                      </w:r>
                      <w:r>
                        <w:rPr>
                          <w:i/>
                          <w:color w:val="231F20"/>
                          <w:position w:val="-1"/>
                        </w:rPr>
                        <w:tab/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secondary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containers,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including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small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ones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like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</w:rPr>
                        <w:t>dropper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bottles</w:t>
                      </w:r>
                      <w:r>
                        <w:rPr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vials,</w:t>
                      </w:r>
                    </w:p>
                    <w:p>
                      <w:pPr>
                        <w:pStyle w:val="BodyText"/>
                        <w:tabs>
                          <w:tab w:pos="6124" w:val="left" w:leader="none"/>
                        </w:tabs>
                        <w:spacing w:line="228" w:lineRule="auto"/>
                        <w:ind w:left="185" w:right="700"/>
                      </w:pPr>
                      <w:r>
                        <w:rPr>
                          <w:color w:val="231F20"/>
                        </w:rPr>
                        <w:t>Secondary containers, including small ones like vials or dropper bottles,</w:t>
                        <w:tab/>
                      </w:r>
                      <w:r>
                        <w:rPr>
                          <w:color w:val="231F20"/>
                          <w:position w:val="2"/>
                        </w:rPr>
                        <w:t>must be labeled with the chemical name and hazard information to </w:t>
                      </w:r>
                      <w:r>
                        <w:rPr>
                          <w:color w:val="231F20"/>
                          <w:position w:val="-1"/>
                        </w:rPr>
                        <w:t>must be labeled with the chemical name and hazard information to</w:t>
                        <w:tab/>
                      </w:r>
                      <w:r>
                        <w:rPr>
                          <w:color w:val="231F20"/>
                        </w:rPr>
                        <w:t>prevent accidental misuse and comply with labeling requirements. </w:t>
                      </w:r>
                      <w:r>
                        <w:rPr>
                          <w:color w:val="231F20"/>
                          <w:position w:val="-1"/>
                        </w:rPr>
                        <w:t>prevent misuse and meet labeling requirements. For very small</w:t>
                        <w:tab/>
                      </w:r>
                      <w:r>
                        <w:rPr>
                          <w:color w:val="231F20"/>
                        </w:rPr>
                        <w:t>However,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very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small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containers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(e.g.,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1.5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1"/>
                        </w:rPr>
                        <w:t> </w:t>
                      </w:r>
                      <w:r>
                        <w:rPr>
                          <w:color w:val="231F20"/>
                        </w:rPr>
                        <w:t>tubes)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where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space</w:t>
                      </w:r>
                    </w:p>
                    <w:p>
                      <w:pPr>
                        <w:pStyle w:val="BodyText"/>
                        <w:tabs>
                          <w:tab w:pos="6124" w:val="left" w:leader="none"/>
                        </w:tabs>
                        <w:spacing w:line="228" w:lineRule="auto"/>
                        <w:ind w:left="185" w:right="314"/>
                      </w:pPr>
                      <w:r>
                        <w:rPr>
                          <w:color w:val="231F20"/>
                          <w:position w:val="-1"/>
                        </w:rPr>
                        <w:t>containers (e.g., 1.5 mL tubes), the UO Chemical Hygiene Plan allows</w:t>
                        <w:tab/>
                      </w:r>
                      <w:r>
                        <w:rPr>
                          <w:color w:val="231F20"/>
                        </w:rPr>
                        <w:t>constraints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make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full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labeling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impractical,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UO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Chemical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Hygiene</w:t>
                      </w:r>
                      <w:r>
                        <w:rPr>
                          <w:color w:val="231F20"/>
                          <w:spacing w:val="-5"/>
                        </w:rPr>
                        <w:t> </w:t>
                      </w:r>
                      <w:r>
                        <w:rPr>
                          <w:color w:val="231F20"/>
                        </w:rPr>
                        <w:t>Plan </w:t>
                      </w:r>
                      <w:r>
                        <w:rPr>
                          <w:color w:val="231F20"/>
                          <w:position w:val="-1"/>
                        </w:rPr>
                        <w:t>for numbering or coding systems, as long as a key is accessible to lab</w:t>
                        <w:tab/>
                      </w:r>
                      <w:r>
                        <w:rPr>
                          <w:color w:val="231F20"/>
                        </w:rPr>
                        <w:t>allows for alternative labeling methods, such as numbering or coding </w:t>
                      </w:r>
                      <w:r>
                        <w:rPr>
                          <w:color w:val="231F20"/>
                          <w:spacing w:val="-2"/>
                          <w:position w:val="-1"/>
                        </w:rPr>
                        <w:t>personnel.</w:t>
                      </w:r>
                      <w:r>
                        <w:rPr>
                          <w:color w:val="231F20"/>
                          <w:position w:val="-1"/>
                        </w:rPr>
                        <w:tab/>
                      </w:r>
                      <w:r>
                        <w:rPr>
                          <w:color w:val="231F20"/>
                        </w:rPr>
                        <w:t>systems, provided that a corresponding key or reference is readily</w:t>
                      </w:r>
                    </w:p>
                    <w:p>
                      <w:pPr>
                        <w:pStyle w:val="BodyText"/>
                        <w:spacing w:line="247" w:lineRule="auto"/>
                        <w:ind w:left="6125" w:right="252"/>
                      </w:pPr>
                      <w:r>
                        <w:rPr>
                          <w:color w:val="231F20"/>
                        </w:rPr>
                        <w:t>accessible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laboratory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personnel.</w:t>
                      </w:r>
                      <w:r>
                        <w:rPr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color w:val="21409A"/>
                        </w:rPr>
                        <w:t>Click</w:t>
                      </w:r>
                      <w:r>
                        <w:rPr>
                          <w:color w:val="21409A"/>
                          <w:spacing w:val="-4"/>
                        </w:rPr>
                        <w:t> </w:t>
                      </w:r>
                      <w:r>
                        <w:rPr>
                          <w:color w:val="21409A"/>
                        </w:rPr>
                        <w:t>here</w:t>
                      </w:r>
                      <w:r>
                        <w:rPr>
                          <w:color w:val="21409A"/>
                          <w:spacing w:val="-8"/>
                        </w:rPr>
                        <w:t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see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video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color w:val="231F20"/>
                        </w:rPr>
                        <w:t>an electrical panel catching fire in the EMU.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231F20"/>
          <w:sz w:val="18"/>
        </w:rPr>
        <w:t>Reference: 40 CFR Part 262.11 (EPA RCRA Regulations), Oregon</w:t>
      </w:r>
      <w:r>
        <w:rPr>
          <w:i/>
          <w:color w:val="231F20"/>
          <w:sz w:val="18"/>
        </w:rPr>
        <w:t> DEQ, Prudent Practices, Chapter 8, Section 8.B.6 and 8.B.2.2 </w:t>
      </w:r>
      <w:r>
        <w:rPr>
          <w:color w:val="231F20"/>
          <w:sz w:val="18"/>
        </w:rPr>
        <w:t>Hazardous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waste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must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clearly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labeled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words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“Hazardous Waste” and a start date to comply with federal and state regulations. Untagged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containers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can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result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regulatory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penalties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increased safety risks.</w:t>
      </w: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9" w:lineRule="auto" w:before="94" w:after="0"/>
        <w:ind w:left="180" w:right="179" w:firstLine="0"/>
        <w:jc w:val="left"/>
      </w:pPr>
      <w:r>
        <w:rPr>
          <w:b w:val="0"/>
        </w:rPr>
        <w:br w:type="column"/>
      </w:r>
      <w:r>
        <w:rPr>
          <w:color w:val="231F20"/>
        </w:rPr>
        <w:t>Waste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Labeled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Common</w:t>
      </w:r>
      <w:r>
        <w:rPr>
          <w:color w:val="231F20"/>
          <w:spacing w:val="-6"/>
        </w:rPr>
        <w:t> </w:t>
      </w:r>
      <w:r>
        <w:rPr>
          <w:color w:val="231F20"/>
        </w:rPr>
        <w:t>Chemical</w:t>
      </w:r>
      <w:r>
        <w:rPr>
          <w:color w:val="231F20"/>
          <w:spacing w:val="-6"/>
        </w:rPr>
        <w:t> </w:t>
      </w:r>
      <w:r>
        <w:rPr>
          <w:color w:val="231F20"/>
        </w:rPr>
        <w:t>Names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Found in 33% of Inspections</w:t>
      </w:r>
    </w:p>
    <w:p>
      <w:pPr>
        <w:spacing w:line="249" w:lineRule="auto" w:before="0"/>
        <w:ind w:left="180" w:right="235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Reference: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40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CFR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Part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262,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Prudent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Practices,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Chapter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8,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Section</w:t>
      </w:r>
      <w:r>
        <w:rPr>
          <w:i/>
          <w:color w:val="231F20"/>
          <w:sz w:val="18"/>
        </w:rPr>
        <w:t> </w:t>
      </w:r>
      <w:r>
        <w:rPr>
          <w:i/>
          <w:color w:val="231F20"/>
          <w:spacing w:val="-2"/>
          <w:sz w:val="18"/>
        </w:rPr>
        <w:t>8.B.4.1</w:t>
      </w:r>
    </w:p>
    <w:p>
      <w:pPr>
        <w:pStyle w:val="BodyText"/>
        <w:spacing w:line="249" w:lineRule="auto"/>
        <w:ind w:left="180" w:right="245"/>
        <w:jc w:val="both"/>
      </w:pPr>
      <w:r>
        <w:rPr>
          <w:color w:val="231F20"/>
        </w:rPr>
        <w:t>Using</w:t>
      </w:r>
      <w:r>
        <w:rPr>
          <w:color w:val="231F20"/>
          <w:spacing w:val="-1"/>
        </w:rPr>
        <w:t> </w:t>
      </w:r>
      <w:r>
        <w:rPr>
          <w:color w:val="231F20"/>
        </w:rPr>
        <w:t>abbreviations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chemical</w:t>
      </w:r>
      <w:r>
        <w:rPr>
          <w:color w:val="231F20"/>
          <w:spacing w:val="-1"/>
        </w:rPr>
        <w:t> </w:t>
      </w:r>
      <w:r>
        <w:rPr>
          <w:color w:val="231F20"/>
        </w:rPr>
        <w:t>formulas</w:t>
      </w:r>
      <w:r>
        <w:rPr>
          <w:color w:val="231F20"/>
          <w:spacing w:val="-1"/>
        </w:rPr>
        <w:t> </w:t>
      </w:r>
      <w:r>
        <w:rPr>
          <w:color w:val="231F20"/>
        </w:rPr>
        <w:t>instead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common</w:t>
      </w:r>
      <w:r>
        <w:rPr>
          <w:color w:val="231F20"/>
          <w:spacing w:val="-1"/>
        </w:rPr>
        <w:t> </w:t>
      </w:r>
      <w:r>
        <w:rPr>
          <w:color w:val="231F20"/>
        </w:rPr>
        <w:t>names</w:t>
      </w:r>
      <w:r>
        <w:rPr>
          <w:color w:val="231F20"/>
          <w:spacing w:val="-1"/>
        </w:rPr>
        <w:t> </w:t>
      </w:r>
      <w:r>
        <w:rPr>
          <w:color w:val="231F20"/>
        </w:rPr>
        <w:t>may confuse</w:t>
      </w:r>
      <w:r>
        <w:rPr>
          <w:color w:val="231F20"/>
          <w:spacing w:val="-5"/>
        </w:rPr>
        <w:t> </w:t>
      </w:r>
      <w:r>
        <w:rPr>
          <w:color w:val="231F20"/>
        </w:rPr>
        <w:t>emergency</w:t>
      </w:r>
      <w:r>
        <w:rPr>
          <w:color w:val="231F20"/>
          <w:spacing w:val="-5"/>
        </w:rPr>
        <w:t> </w:t>
      </w:r>
      <w:r>
        <w:rPr>
          <w:color w:val="231F20"/>
        </w:rPr>
        <w:t>responders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waste</w:t>
      </w:r>
      <w:r>
        <w:rPr>
          <w:color w:val="231F20"/>
          <w:spacing w:val="-5"/>
        </w:rPr>
        <w:t> </w:t>
      </w:r>
      <w:r>
        <w:rPr>
          <w:color w:val="231F20"/>
        </w:rPr>
        <w:t>handlers.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chemical</w:t>
      </w:r>
      <w:r>
        <w:rPr>
          <w:color w:val="231F20"/>
          <w:spacing w:val="-5"/>
        </w:rPr>
        <w:t> </w:t>
      </w:r>
      <w:r>
        <w:rPr>
          <w:color w:val="231F20"/>
        </w:rPr>
        <w:t>names are required for accurate hazard communication and waste disposal.</w:t>
      </w:r>
    </w:p>
    <w:p>
      <w:pPr>
        <w:pStyle w:val="BodyText"/>
        <w:spacing w:after="0" w:line="249" w:lineRule="auto"/>
        <w:jc w:val="both"/>
        <w:sectPr>
          <w:type w:val="continuous"/>
          <w:pgSz w:w="12240" w:h="15840"/>
          <w:pgMar w:top="0" w:bottom="0" w:left="0" w:right="0"/>
          <w:cols w:num="2" w:equalWidth="0">
            <w:col w:w="5892" w:space="48"/>
            <w:col w:w="63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1"/>
        <w:numPr>
          <w:ilvl w:val="0"/>
          <w:numId w:val="2"/>
        </w:numPr>
        <w:tabs>
          <w:tab w:pos="468" w:val="left" w:leader="none"/>
        </w:tabs>
        <w:spacing w:line="249" w:lineRule="auto" w:before="93" w:after="0"/>
        <w:ind w:left="180" w:right="360" w:firstLine="0"/>
        <w:jc w:val="left"/>
      </w:pPr>
      <w:r>
        <w:rPr>
          <w:color w:val="231F20"/>
        </w:rPr>
        <w:t>Waste</w:t>
      </w:r>
      <w:r>
        <w:rPr>
          <w:color w:val="231F20"/>
          <w:spacing w:val="-10"/>
        </w:rPr>
        <w:t> </w:t>
      </w:r>
      <w:r>
        <w:rPr>
          <w:color w:val="231F20"/>
        </w:rPr>
        <w:t>Containers</w:t>
      </w:r>
      <w:r>
        <w:rPr>
          <w:color w:val="231F20"/>
          <w:spacing w:val="-10"/>
        </w:rPr>
        <w:t> </w:t>
      </w:r>
      <w:r>
        <w:rPr>
          <w:color w:val="231F20"/>
        </w:rPr>
        <w:t>Without</w:t>
      </w:r>
      <w:r>
        <w:rPr>
          <w:color w:val="231F20"/>
          <w:spacing w:val="-10"/>
        </w:rPr>
        <w:t> </w:t>
      </w:r>
      <w:r>
        <w:rPr>
          <w:color w:val="231F20"/>
        </w:rPr>
        <w:t>Secondary</w:t>
      </w:r>
      <w:r>
        <w:rPr>
          <w:color w:val="231F20"/>
          <w:spacing w:val="-10"/>
        </w:rPr>
        <w:t> </w:t>
      </w:r>
      <w:r>
        <w:rPr>
          <w:color w:val="231F20"/>
        </w:rPr>
        <w:t>Containment</w:t>
      </w:r>
      <w:r>
        <w:rPr>
          <w:color w:val="231F20"/>
          <w:spacing w:val="-10"/>
        </w:rPr>
        <w:t> </w:t>
      </w:r>
      <w:r>
        <w:rPr>
          <w:color w:val="231F20"/>
        </w:rPr>
        <w:t>– Found in 23% of Inspections</w:t>
      </w:r>
    </w:p>
    <w:p>
      <w:pPr>
        <w:spacing w:line="249" w:lineRule="auto" w:before="0"/>
        <w:ind w:left="180" w:right="38" w:firstLine="0"/>
        <w:jc w:val="left"/>
        <w:rPr>
          <w:sz w:val="18"/>
        </w:rPr>
      </w:pPr>
      <w:r>
        <w:rPr>
          <w:i/>
          <w:color w:val="231F20"/>
          <w:sz w:val="18"/>
        </w:rPr>
        <w:t>Reference: EPA RCRA Guidelines 40 CFR 267.195, UO Hazardous</w:t>
      </w:r>
      <w:r>
        <w:rPr>
          <w:i/>
          <w:color w:val="231F20"/>
          <w:sz w:val="18"/>
        </w:rPr>
        <w:t> Waste Policy, Prudent Practices, Chapter 8, Section 8.B.4.1 </w:t>
      </w:r>
      <w:r>
        <w:rPr>
          <w:color w:val="231F20"/>
          <w:sz w:val="18"/>
        </w:rPr>
        <w:t>Secondary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containment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required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prevent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spills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environmental contamination. It is especially critical when storing hazardous liquids near drains or in high-traffic areas.</w:t>
      </w:r>
    </w:p>
    <w:p>
      <w:pPr>
        <w:pStyle w:val="Heading1"/>
        <w:numPr>
          <w:ilvl w:val="0"/>
          <w:numId w:val="2"/>
        </w:numPr>
        <w:tabs>
          <w:tab w:pos="468" w:val="left" w:leader="none"/>
        </w:tabs>
        <w:spacing w:line="249" w:lineRule="auto" w:before="93" w:after="0"/>
        <w:ind w:left="180" w:right="516" w:firstLine="0"/>
        <w:jc w:val="left"/>
      </w:pPr>
      <w:r>
        <w:rPr>
          <w:b w:val="0"/>
        </w:rPr>
        <w:br w:type="column"/>
      </w:r>
      <w:r>
        <w:rPr>
          <w:color w:val="231F20"/>
        </w:rPr>
        <w:t>Empty</w:t>
      </w:r>
      <w:r>
        <w:rPr>
          <w:color w:val="231F20"/>
          <w:spacing w:val="-4"/>
        </w:rPr>
        <w:t> </w:t>
      </w:r>
      <w:r>
        <w:rPr>
          <w:color w:val="231F20"/>
        </w:rPr>
        <w:t>Bottles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Rinsed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Defaced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22%</w:t>
      </w:r>
      <w:r>
        <w:rPr>
          <w:color w:val="231F20"/>
          <w:spacing w:val="-4"/>
        </w:rPr>
        <w:t> </w:t>
      </w:r>
      <w:r>
        <w:rPr>
          <w:color w:val="231F20"/>
        </w:rPr>
        <w:t>of </w:t>
      </w:r>
      <w:r>
        <w:rPr>
          <w:color w:val="231F20"/>
          <w:spacing w:val="-2"/>
        </w:rPr>
        <w:t>Inspections</w:t>
      </w:r>
    </w:p>
    <w:p>
      <w:pPr>
        <w:spacing w:line="249" w:lineRule="auto" w:before="0"/>
        <w:ind w:left="180" w:right="177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Reference: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UO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Hazardous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Waste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Policy,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Prudent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Practices,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Chapter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8,</w:t>
      </w:r>
      <w:r>
        <w:rPr>
          <w:i/>
          <w:color w:val="231F20"/>
          <w:sz w:val="18"/>
        </w:rPr>
        <w:t> Section 8.B.3.4</w:t>
      </w:r>
    </w:p>
    <w:p>
      <w:pPr>
        <w:pStyle w:val="BodyText"/>
        <w:spacing w:line="249" w:lineRule="auto"/>
        <w:ind w:left="180" w:right="177"/>
      </w:pPr>
      <w:r>
        <w:rPr>
          <w:color w:val="231F20"/>
        </w:rPr>
        <w:t>Empty</w:t>
      </w:r>
      <w:r>
        <w:rPr>
          <w:color w:val="231F20"/>
          <w:spacing w:val="-5"/>
        </w:rPr>
        <w:t> </w:t>
      </w:r>
      <w:r>
        <w:rPr>
          <w:color w:val="231F20"/>
        </w:rPr>
        <w:t>containers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properly</w:t>
      </w:r>
      <w:r>
        <w:rPr>
          <w:color w:val="231F20"/>
          <w:spacing w:val="-5"/>
        </w:rPr>
        <w:t> </w:t>
      </w:r>
      <w:r>
        <w:rPr>
          <w:color w:val="231F20"/>
        </w:rPr>
        <w:t>rinsed</w:t>
      </w:r>
      <w:r>
        <w:rPr>
          <w:color w:val="231F20"/>
          <w:spacing w:val="-5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appropriate)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labels defaced before disposal.</w:t>
      </w:r>
      <w:r>
        <w:rPr>
          <w:color w:val="231F20"/>
          <w:spacing w:val="-1"/>
        </w:rPr>
        <w:t> </w:t>
      </w:r>
      <w:r>
        <w:rPr>
          <w:color w:val="231F20"/>
        </w:rPr>
        <w:t>This prevents confusion about contents and reduces hazardous waste misclassification.</w:t>
      </w:r>
    </w:p>
    <w:p>
      <w:pPr>
        <w:pStyle w:val="BodyText"/>
        <w:spacing w:after="0" w:line="249" w:lineRule="auto"/>
        <w:sectPr>
          <w:type w:val="continuous"/>
          <w:pgSz w:w="12240" w:h="15840"/>
          <w:pgMar w:top="0" w:bottom="0" w:left="0" w:right="0"/>
          <w:cols w:num="2" w:equalWidth="0">
            <w:col w:w="5834" w:space="106"/>
            <w:col w:w="6300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1"/>
        <w:numPr>
          <w:ilvl w:val="0"/>
          <w:numId w:val="2"/>
        </w:numPr>
        <w:tabs>
          <w:tab w:pos="468" w:val="left" w:leader="none"/>
        </w:tabs>
        <w:spacing w:line="249" w:lineRule="auto" w:before="94" w:after="0"/>
        <w:ind w:left="180" w:right="0" w:firstLine="0"/>
        <w:jc w:val="left"/>
      </w:pPr>
      <w:r>
        <w:rPr>
          <w:color w:val="231F20"/>
        </w:rPr>
        <w:t>Heavy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Bulky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Stored</w:t>
      </w:r>
      <w:r>
        <w:rPr>
          <w:color w:val="231F20"/>
          <w:spacing w:val="-12"/>
        </w:rPr>
        <w:t> </w:t>
      </w:r>
      <w:r>
        <w:rPr>
          <w:color w:val="231F20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Eye</w:t>
      </w:r>
      <w:r>
        <w:rPr>
          <w:color w:val="231F20"/>
          <w:spacing w:val="-4"/>
        </w:rPr>
        <w:t> </w:t>
      </w:r>
      <w:r>
        <w:rPr>
          <w:color w:val="231F20"/>
        </w:rPr>
        <w:t>Level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in 21% of Inspections</w:t>
      </w:r>
    </w:p>
    <w:p>
      <w:pPr>
        <w:spacing w:line="249" w:lineRule="auto" w:before="0"/>
        <w:ind w:left="180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Reference: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OAR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437-004-1610,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Prudent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Practices,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Chapter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3,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Section</w:t>
      </w:r>
      <w:r>
        <w:rPr>
          <w:i/>
          <w:color w:val="231F20"/>
          <w:sz w:val="18"/>
        </w:rPr>
        <w:t> </w:t>
      </w:r>
      <w:r>
        <w:rPr>
          <w:i/>
          <w:color w:val="231F20"/>
          <w:spacing w:val="-2"/>
          <w:sz w:val="18"/>
        </w:rPr>
        <w:t>3.B.1.4</w:t>
      </w:r>
    </w:p>
    <w:p>
      <w:pPr>
        <w:pStyle w:val="BodyText"/>
        <w:spacing w:line="249" w:lineRule="auto"/>
        <w:ind w:left="180"/>
      </w:pPr>
      <w:r>
        <w:rPr>
          <w:color w:val="231F20"/>
        </w:rPr>
        <w:t>Storing heavy or bulky items overhead creates a risk of falling objects and</w:t>
      </w:r>
      <w:r>
        <w:rPr>
          <w:color w:val="231F20"/>
          <w:spacing w:val="-3"/>
        </w:rPr>
        <w:t> </w:t>
      </w:r>
      <w:r>
        <w:rPr>
          <w:color w:val="231F20"/>
        </w:rPr>
        <w:t>injuries.</w:t>
      </w:r>
      <w:r>
        <w:rPr>
          <w:color w:val="231F20"/>
          <w:spacing w:val="-3"/>
        </w:rPr>
        <w:t> </w:t>
      </w:r>
      <w:r>
        <w:rPr>
          <w:color w:val="231F20"/>
        </w:rPr>
        <w:t>OSHA</w:t>
      </w:r>
      <w:r>
        <w:rPr>
          <w:color w:val="231F20"/>
          <w:spacing w:val="-1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cite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under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General</w:t>
      </w:r>
      <w:r>
        <w:rPr>
          <w:color w:val="231F20"/>
          <w:spacing w:val="-3"/>
        </w:rPr>
        <w:t> </w:t>
      </w:r>
      <w:r>
        <w:rPr>
          <w:color w:val="231F20"/>
        </w:rPr>
        <w:t>Duty</w:t>
      </w:r>
      <w:r>
        <w:rPr>
          <w:color w:val="231F20"/>
          <w:spacing w:val="-3"/>
        </w:rPr>
        <w:t> </w:t>
      </w:r>
      <w:r>
        <w:rPr>
          <w:color w:val="231F20"/>
        </w:rPr>
        <w:t>Clause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it's</w:t>
      </w:r>
      <w:r>
        <w:rPr>
          <w:color w:val="231F20"/>
          <w:spacing w:val="-3"/>
        </w:rPr>
        <w:t> </w:t>
      </w:r>
      <w:r>
        <w:rPr>
          <w:color w:val="231F20"/>
        </w:rPr>
        <w:t>a recognized hazard that isn’t addressed.</w:t>
      </w:r>
    </w:p>
    <w:p>
      <w:pPr>
        <w:pStyle w:val="Heading1"/>
        <w:numPr>
          <w:ilvl w:val="0"/>
          <w:numId w:val="2"/>
        </w:numPr>
        <w:tabs>
          <w:tab w:pos="580" w:val="left" w:leader="none"/>
        </w:tabs>
        <w:spacing w:line="249" w:lineRule="auto" w:before="94" w:after="0"/>
        <w:ind w:left="180" w:right="294" w:firstLine="0"/>
        <w:jc w:val="left"/>
      </w:pPr>
      <w:r>
        <w:rPr>
          <w:b w:val="0"/>
        </w:rPr>
        <w:br w:type="column"/>
      </w:r>
      <w:r>
        <w:rPr>
          <w:color w:val="231F20"/>
        </w:rPr>
        <w:t>Lab</w:t>
      </w:r>
      <w:r>
        <w:rPr>
          <w:color w:val="231F20"/>
          <w:spacing w:val="-6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Missing</w:t>
      </w:r>
      <w:r>
        <w:rPr>
          <w:color w:val="231F20"/>
          <w:spacing w:val="-6"/>
        </w:rPr>
        <w:t> </w:t>
      </w:r>
      <w:r>
        <w:rPr>
          <w:color w:val="231F20"/>
        </w:rPr>
        <w:t>UO</w:t>
      </w:r>
      <w:r>
        <w:rPr>
          <w:color w:val="231F20"/>
          <w:spacing w:val="-6"/>
        </w:rPr>
        <w:t> </w:t>
      </w:r>
      <w:r>
        <w:rPr>
          <w:color w:val="231F20"/>
        </w:rPr>
        <w:t>Fire</w:t>
      </w:r>
      <w:r>
        <w:rPr>
          <w:color w:val="231F20"/>
          <w:spacing w:val="-6"/>
        </w:rPr>
        <w:t> </w:t>
      </w:r>
      <w:r>
        <w:rPr>
          <w:color w:val="231F20"/>
        </w:rPr>
        <w:t>Safety</w:t>
      </w:r>
      <w:r>
        <w:rPr>
          <w:color w:val="231F20"/>
          <w:spacing w:val="-6"/>
        </w:rPr>
        <w:t> </w:t>
      </w:r>
      <w:r>
        <w:rPr>
          <w:color w:val="231F20"/>
        </w:rPr>
        <w:t>Training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in 20% of Inspections</w:t>
      </w:r>
    </w:p>
    <w:p>
      <w:pPr>
        <w:spacing w:line="249" w:lineRule="auto" w:before="0"/>
        <w:ind w:left="180" w:right="235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Reference: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2022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Oregon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Fire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Code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4.1,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Prudent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Practices,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Chapter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6,</w:t>
      </w:r>
      <w:r>
        <w:rPr>
          <w:i/>
          <w:color w:val="231F20"/>
          <w:sz w:val="18"/>
        </w:rPr>
        <w:t> Section 6.F</w:t>
      </w:r>
    </w:p>
    <w:p>
      <w:pPr>
        <w:pStyle w:val="BodyText"/>
        <w:spacing w:line="249" w:lineRule="auto"/>
        <w:ind w:left="180" w:right="177"/>
      </w:pPr>
      <w:r>
        <w:rPr>
          <w:color w:val="231F20"/>
        </w:rPr>
        <w:t>Fire safety training is mandatory for lab personnel who work with flammable</w:t>
      </w:r>
      <w:r>
        <w:rPr>
          <w:color w:val="231F20"/>
          <w:spacing w:val="-5"/>
        </w:rPr>
        <w:t> </w:t>
      </w:r>
      <w:r>
        <w:rPr>
          <w:color w:val="231F20"/>
        </w:rPr>
        <w:t>materials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fire-risk</w:t>
      </w:r>
      <w:r>
        <w:rPr>
          <w:color w:val="231F20"/>
          <w:spacing w:val="-5"/>
        </w:rPr>
        <w:t> </w:t>
      </w:r>
      <w:r>
        <w:rPr>
          <w:color w:val="231F20"/>
        </w:rPr>
        <w:t>environments.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training</w:t>
      </w:r>
      <w:r>
        <w:rPr>
          <w:color w:val="231F20"/>
          <w:spacing w:val="-5"/>
        </w:rPr>
        <w:t> </w:t>
      </w:r>
      <w:r>
        <w:rPr>
          <w:color w:val="231F20"/>
        </w:rPr>
        <w:t>helps prevent</w:t>
      </w:r>
      <w:r>
        <w:rPr>
          <w:color w:val="231F20"/>
          <w:spacing w:val="-3"/>
        </w:rPr>
        <w:t> </w:t>
      </w:r>
      <w:r>
        <w:rPr>
          <w:color w:val="231F20"/>
        </w:rPr>
        <w:t>incidents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ensures</w:t>
      </w:r>
      <w:r>
        <w:rPr>
          <w:color w:val="231F20"/>
          <w:spacing w:val="-2"/>
        </w:rPr>
        <w:t> </w:t>
      </w:r>
      <w:r>
        <w:rPr>
          <w:color w:val="231F20"/>
        </w:rPr>
        <w:t>compliance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fire</w:t>
      </w:r>
      <w:r>
        <w:rPr>
          <w:color w:val="231F20"/>
          <w:spacing w:val="-3"/>
        </w:rPr>
        <w:t> </w:t>
      </w:r>
      <w:r>
        <w:rPr>
          <w:color w:val="231F20"/>
        </w:rPr>
        <w:t>code</w:t>
      </w:r>
      <w:r>
        <w:rPr>
          <w:color w:val="231F20"/>
          <w:spacing w:val="-2"/>
        </w:rPr>
        <w:t> requirements.</w:t>
      </w:r>
    </w:p>
    <w:p>
      <w:pPr>
        <w:pStyle w:val="BodyText"/>
        <w:spacing w:after="0" w:line="249" w:lineRule="auto"/>
        <w:sectPr>
          <w:type w:val="continuous"/>
          <w:pgSz w:w="12240" w:h="15840"/>
          <w:pgMar w:top="0" w:bottom="0" w:left="0" w:right="0"/>
          <w:cols w:num="2" w:equalWidth="0">
            <w:col w:w="5886" w:space="54"/>
            <w:col w:w="6300"/>
          </w:cols>
        </w:sectPr>
      </w:pPr>
    </w:p>
    <w:p>
      <w:pPr>
        <w:pStyle w:val="BodyText"/>
        <w:spacing w:before="1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-8558</wp:posOffset>
                </wp:positionH>
                <wp:positionV relativeFrom="page">
                  <wp:posOffset>0</wp:posOffset>
                </wp:positionV>
                <wp:extent cx="7787640" cy="377507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787640" cy="3775075"/>
                          <a:chExt cx="7787640" cy="37750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8558" y="2617863"/>
                            <a:ext cx="777240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544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4036"/>
                                </a:lnTo>
                                <a:lnTo>
                                  <a:pt x="7772400" y="1154036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558" y="1209802"/>
                            <a:ext cx="7772400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1922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9098"/>
                                </a:lnTo>
                                <a:lnTo>
                                  <a:pt x="7772400" y="141909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2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558" y="0"/>
                            <a:ext cx="7773670" cy="192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3670" h="192214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1801"/>
                                </a:lnTo>
                                <a:lnTo>
                                  <a:pt x="392093" y="1835547"/>
                                </a:lnTo>
                                <a:lnTo>
                                  <a:pt x="783387" y="1756575"/>
                                </a:lnTo>
                                <a:lnTo>
                                  <a:pt x="1227858" y="1675226"/>
                                </a:lnTo>
                                <a:lnTo>
                                  <a:pt x="1669009" y="1603016"/>
                                </a:lnTo>
                                <a:lnTo>
                                  <a:pt x="2106404" y="1539569"/>
                                </a:lnTo>
                                <a:lnTo>
                                  <a:pt x="2593443" y="1478197"/>
                                </a:lnTo>
                                <a:lnTo>
                                  <a:pt x="3074558" y="1426905"/>
                                </a:lnTo>
                                <a:lnTo>
                                  <a:pt x="3549129" y="1385159"/>
                                </a:lnTo>
                                <a:lnTo>
                                  <a:pt x="4068001" y="1349320"/>
                                </a:lnTo>
                                <a:lnTo>
                                  <a:pt x="4577179" y="1323870"/>
                                </a:lnTo>
                                <a:lnTo>
                                  <a:pt x="4724978" y="1318258"/>
                                </a:lnTo>
                                <a:lnTo>
                                  <a:pt x="4724823" y="1318258"/>
                                </a:lnTo>
                                <a:lnTo>
                                  <a:pt x="5219331" y="1305185"/>
                                </a:lnTo>
                                <a:lnTo>
                                  <a:pt x="5218925" y="1305185"/>
                                </a:lnTo>
                                <a:lnTo>
                                  <a:pt x="5265443" y="1304412"/>
                                </a:lnTo>
                                <a:lnTo>
                                  <a:pt x="5264668" y="1304412"/>
                                </a:lnTo>
                                <a:lnTo>
                                  <a:pt x="5546111" y="1301316"/>
                                </a:lnTo>
                                <a:lnTo>
                                  <a:pt x="5539989" y="1301316"/>
                                </a:lnTo>
                                <a:lnTo>
                                  <a:pt x="7772400" y="130106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  <a:path w="7773670" h="1922145">
                                <a:moveTo>
                                  <a:pt x="7772400" y="1301065"/>
                                </a:moveTo>
                                <a:lnTo>
                                  <a:pt x="5849569" y="1301065"/>
                                </a:lnTo>
                                <a:lnTo>
                                  <a:pt x="6319608" y="1307002"/>
                                </a:lnTo>
                                <a:lnTo>
                                  <a:pt x="6319401" y="1307002"/>
                                </a:lnTo>
                                <a:lnTo>
                                  <a:pt x="6773831" y="1319963"/>
                                </a:lnTo>
                                <a:lnTo>
                                  <a:pt x="6773691" y="1319963"/>
                                </a:lnTo>
                                <a:lnTo>
                                  <a:pt x="7209611" y="1339021"/>
                                </a:lnTo>
                                <a:lnTo>
                                  <a:pt x="7773641" y="1373273"/>
                                </a:lnTo>
                                <a:lnTo>
                                  <a:pt x="7772400" y="1373273"/>
                                </a:lnTo>
                                <a:lnTo>
                                  <a:pt x="7772400" y="130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3795" y="228600"/>
                            <a:ext cx="5711362" cy="710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7885"/>
                            <a:ext cx="7787309" cy="92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558" y="3770657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70">
                                <a:moveTo>
                                  <a:pt x="0" y="0"/>
                                </a:moveTo>
                                <a:lnTo>
                                  <a:pt x="7772400" y="1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558" y="3770657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70">
                                <a:moveTo>
                                  <a:pt x="0" y="0"/>
                                </a:moveTo>
                                <a:lnTo>
                                  <a:pt x="3771900" y="596"/>
                                </a:lnTo>
                                <a:lnTo>
                                  <a:pt x="7772400" y="124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558" y="2635459"/>
                            <a:ext cx="775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0" h="1270">
                                <a:moveTo>
                                  <a:pt x="0" y="0"/>
                                </a:moveTo>
                                <a:lnTo>
                                  <a:pt x="7759700" y="1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558" y="2635459"/>
                            <a:ext cx="775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0" h="1270">
                                <a:moveTo>
                                  <a:pt x="0" y="0"/>
                                </a:moveTo>
                                <a:lnTo>
                                  <a:pt x="3759200" y="594"/>
                                </a:lnTo>
                                <a:lnTo>
                                  <a:pt x="7759700" y="124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67390pt;margin-top:0pt;width:613.2pt;height:297.25pt;mso-position-horizontal-relative:page;mso-position-vertical-relative:page;z-index:-15797248" id="docshapegroup7" coordorigin="-13,0" coordsize="12264,5945">
                <v:rect style="position:absolute;left:0;top:4122;width:12240;height:1818" id="docshape8" filled="true" fillcolor="#d5e4e3" stroked="false">
                  <v:fill type="solid"/>
                </v:rect>
                <v:rect style="position:absolute;left:0;top:1905;width:12240;height:2235" id="docshape9" filled="true" fillcolor="#faf2d6" stroked="false">
                  <v:fill type="solid"/>
                </v:rect>
                <v:shape style="position:absolute;left:0;top:0;width:12242;height:3027" id="docshape10" coordorigin="0,0" coordsize="12242,3027" path="m12240,0l0,0,0,3026,617,2891,1234,2766,1934,2638,2628,2524,3317,2425,4084,2328,4842,2247,5589,2181,6406,2125,7208,2085,7441,2076,7441,2076,8219,2055,8219,2055,8292,2054,8291,2054,8734,2049,8724,2049,12240,2049,12240,0xm12240,2049l9212,2049,9952,2058,9952,2058,10667,2079,10667,2079,11354,2109,12242,2163,12240,2163,12240,2049xe" filled="true" fillcolor="#70ad45" stroked="false">
                  <v:path arrowok="t"/>
                  <v:fill type="solid"/>
                </v:shape>
                <v:shape style="position:absolute;left:2165;top:360;width:8995;height:1119" type="#_x0000_t75" id="docshape11" stroked="false">
                  <v:imagedata r:id="rId5" o:title=""/>
                </v:shape>
                <v:shape style="position:absolute;left:-14;top:1539;width:12264;height:1453" type="#_x0000_t75" id="docshape12" stroked="false">
                  <v:imagedata r:id="rId6" o:title=""/>
                </v:shape>
                <v:shape style="position:absolute;left:0;top:5938;width:12240;height:2" id="docshape13" coordorigin="0,5938" coordsize="12240,2" path="m0,5938l12240,5940,0,5938xe" filled="true" fillcolor="#231f20" stroked="false">
                  <v:path arrowok="t"/>
                  <v:fill type="solid"/>
                </v:shape>
                <v:shape style="position:absolute;left:0;top:5938;width:12240;height:2" id="docshape14" coordorigin="0,5938" coordsize="12240,2" path="m0,5938l5940,5939,12240,5940e" filled="false" stroked="true" strokeweight=".5pt" strokecolor="#231f20">
                  <v:path arrowok="t"/>
                  <v:stroke dashstyle="solid"/>
                </v:shape>
                <v:shape style="position:absolute;left:0;top:4150;width:12220;height:2" id="docshape15" coordorigin="0,4150" coordsize="12220,2" path="m0,4150l12220,4152,0,4150xe" filled="true" fillcolor="#231f20" stroked="false">
                  <v:path arrowok="t"/>
                  <v:fill type="solid"/>
                </v:shape>
                <v:shape style="position:absolute;left:0;top:4150;width:12220;height:2" id="docshape16" coordorigin="0,4150" coordsize="12220,2" path="m0,4150l5920,4151,12220,4152e" filled="false" stroked="true" strokeweight=".5pt" strokecolor="#231f2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0</wp:posOffset>
                </wp:positionH>
                <wp:positionV relativeFrom="page">
                  <wp:posOffset>8116836</wp:posOffset>
                </wp:positionV>
                <wp:extent cx="7775575" cy="194183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775575" cy="1941830"/>
                          <a:chExt cx="7775575" cy="19418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255763"/>
                            <a:ext cx="7772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85800">
                                <a:moveTo>
                                  <a:pt x="0" y="685800"/>
                                </a:moveTo>
                                <a:lnTo>
                                  <a:pt x="7772400" y="6858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2268"/>
                            <a:ext cx="777240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4396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3495"/>
                                </a:lnTo>
                                <a:lnTo>
                                  <a:pt x="7772400" y="124349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A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2100" y="1370063"/>
                            <a:ext cx="2181848" cy="418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693" y="3175"/>
                            <a:ext cx="776795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7955" h="15240">
                                <a:moveTo>
                                  <a:pt x="7767706" y="0"/>
                                </a:moveTo>
                                <a:lnTo>
                                  <a:pt x="0" y="14891"/>
                                </a:lnTo>
                                <a:lnTo>
                                  <a:pt x="7767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93" y="3175"/>
                            <a:ext cx="776795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7955" h="15240">
                                <a:moveTo>
                                  <a:pt x="0" y="14891"/>
                                </a:moveTo>
                                <a:lnTo>
                                  <a:pt x="7767706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39.120972pt;width:612.25pt;height:152.9pt;mso-position-horizontal-relative:page;mso-position-vertical-relative:page;z-index:-15796736" id="docshapegroup17" coordorigin="0,12782" coordsize="12245,3058">
                <v:rect style="position:absolute;left:0;top:14760;width:12240;height:1080" id="docshape18" filled="true" fillcolor="#ebebec" stroked="false">
                  <v:fill type="solid"/>
                </v:rect>
                <v:rect style="position:absolute;left:0;top:12801;width:12240;height:1959" id="docshape19" filled="true" fillcolor="#c9dae3" stroked="false">
                  <v:fill type="solid"/>
                </v:rect>
                <v:shape style="position:absolute;left:8460;top:14940;width:3436;height:660" type="#_x0000_t75" id="docshape20" stroked="false">
                  <v:imagedata r:id="rId7" o:title=""/>
                </v:shape>
                <v:shape style="position:absolute;left:7;top:12787;width:12233;height:24" id="docshape21" coordorigin="7,12787" coordsize="12233,24" path="m12240,12787l7,12811,12240,12787xe" filled="true" fillcolor="#231f20" stroked="false">
                  <v:path arrowok="t"/>
                  <v:fill type="solid"/>
                </v:shape>
                <v:line style="position:absolute" from="7,12811" to="12240,12787" stroked="true" strokeweight=".5pt" strokecolor="#231f2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line="249" w:lineRule="auto" w:before="0"/>
        <w:ind w:left="360" w:right="7008" w:firstLine="0"/>
        <w:jc w:val="left"/>
        <w:rPr>
          <w:sz w:val="20"/>
        </w:rPr>
      </w:pPr>
      <w:r>
        <w:rPr>
          <w:color w:val="231F20"/>
          <w:sz w:val="20"/>
        </w:rPr>
        <w:t>Feel free to reach out with any questions or requests for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assistance!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Let’s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work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together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safer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campus!</w:t>
      </w:r>
    </w:p>
    <w:p>
      <w:pPr>
        <w:spacing w:before="2"/>
        <w:ind w:left="36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— UO Environmental Health &amp; </w:t>
      </w:r>
      <w:r>
        <w:rPr>
          <w:b/>
          <w:color w:val="231F20"/>
          <w:spacing w:val="-2"/>
          <w:sz w:val="20"/>
        </w:rPr>
        <w:t>Safety</w: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)"/>
      <w:lvlJc w:val="left"/>
      <w:pPr>
        <w:ind w:left="180" w:hanging="289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5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1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6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1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7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02" w:hanging="2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)"/>
      <w:lvlJc w:val="left"/>
      <w:pPr>
        <w:ind w:left="180" w:hanging="289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1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3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5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7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7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9" w:hanging="28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8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27" w:lineRule="exact"/>
      <w:ind w:left="1" w:right="10514"/>
      <w:jc w:val="center"/>
    </w:pPr>
    <w:rPr>
      <w:rFonts w:ascii="Arial" w:hAnsi="Arial" w:eastAsia="Arial" w:cs="Arial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8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Newsletter - v7</dc:title>
  <dcterms:created xsi:type="dcterms:W3CDTF">2025-07-10T20:41:06Z</dcterms:created>
  <dcterms:modified xsi:type="dcterms:W3CDTF">2025-07-10T20:41:06Z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17.00</vt:lpwstr>
  </property>
</Properties>
</file>