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466" w:rsidRPr="006904DF" w:rsidRDefault="00E00C0B" w:rsidP="00E00C0B">
      <w:pPr>
        <w:spacing w:after="120"/>
        <w:jc w:val="center"/>
        <w:rPr>
          <w:b/>
          <w:sz w:val="24"/>
        </w:rPr>
      </w:pPr>
      <w:bookmarkStart w:id="0" w:name="_GoBack"/>
      <w:bookmarkEnd w:id="0"/>
      <w:r>
        <w:rPr>
          <w:b/>
          <w:sz w:val="24"/>
        </w:rPr>
        <w:t>Safety Shoe</w:t>
      </w:r>
      <w:r w:rsidR="006904DF" w:rsidRPr="006904DF">
        <w:rPr>
          <w:b/>
          <w:sz w:val="24"/>
        </w:rPr>
        <w:t xml:space="preserve"> Requirements</w:t>
      </w:r>
    </w:p>
    <w:p w:rsidR="003C1466" w:rsidRPr="006A2DCE" w:rsidRDefault="003C1466" w:rsidP="006A2DCE">
      <w:pPr>
        <w:spacing w:after="120"/>
        <w:rPr>
          <w:sz w:val="21"/>
          <w:szCs w:val="21"/>
        </w:rPr>
      </w:pPr>
      <w:r w:rsidRPr="006A2DCE">
        <w:rPr>
          <w:sz w:val="21"/>
          <w:szCs w:val="21"/>
        </w:rPr>
        <w:t>Safety shoes can protect the wearer from many hazards.  Steel toes (or composite toes) protect from impact and compression from tools or objects that fall as well as protecting against heavy objects such as barrels that could roll over toes.  Shoes can provide puncture resistance against nails or other sharps that could pierce the soles or uppers of ordinary shoes.  Soles, when in good condition, provide good traction in wet and slippery conditions. Some shoes offer protection against electrical hazards or dissipate static electricity as well.  In order to ensure that your safety shoes provide appropriate protection, you must:</w:t>
      </w:r>
    </w:p>
    <w:p w:rsidR="003C1466" w:rsidRPr="006A2DCE" w:rsidRDefault="003C1466" w:rsidP="003C1466">
      <w:pPr>
        <w:pStyle w:val="ListParagraph"/>
        <w:numPr>
          <w:ilvl w:val="0"/>
          <w:numId w:val="1"/>
        </w:numPr>
        <w:rPr>
          <w:sz w:val="21"/>
          <w:szCs w:val="21"/>
        </w:rPr>
      </w:pPr>
      <w:r w:rsidRPr="006A2DCE">
        <w:rPr>
          <w:sz w:val="21"/>
          <w:szCs w:val="21"/>
        </w:rPr>
        <w:t xml:space="preserve">Understand what hazards you could face in the course of your job. </w:t>
      </w:r>
    </w:p>
    <w:p w:rsidR="003C1466" w:rsidRPr="006A2DCE" w:rsidRDefault="003C1466" w:rsidP="003C1466">
      <w:pPr>
        <w:pStyle w:val="ListParagraph"/>
        <w:numPr>
          <w:ilvl w:val="0"/>
          <w:numId w:val="1"/>
        </w:numPr>
        <w:rPr>
          <w:sz w:val="21"/>
          <w:szCs w:val="21"/>
        </w:rPr>
      </w:pPr>
      <w:r w:rsidRPr="006A2DCE">
        <w:rPr>
          <w:sz w:val="21"/>
          <w:szCs w:val="21"/>
        </w:rPr>
        <w:t xml:space="preserve">Select shoes that meet the ASTM F2413 requirements for hard toes and ASTM F2892 for soft toes.  </w:t>
      </w:r>
    </w:p>
    <w:p w:rsidR="003C1466" w:rsidRPr="006A2DCE" w:rsidRDefault="003C1466" w:rsidP="003C1466">
      <w:pPr>
        <w:pStyle w:val="ListParagraph"/>
        <w:numPr>
          <w:ilvl w:val="0"/>
          <w:numId w:val="1"/>
        </w:numPr>
        <w:rPr>
          <w:sz w:val="21"/>
          <w:szCs w:val="21"/>
        </w:rPr>
      </w:pPr>
      <w:r w:rsidRPr="006A2DCE">
        <w:rPr>
          <w:sz w:val="21"/>
          <w:szCs w:val="21"/>
        </w:rPr>
        <w:t>Look for the label on the shoes tongue that indicates the properties that the shoe/boot. The numbers and letters on the label indicate the standard the footwear meets as well as the specific protection offered by the footwear.</w:t>
      </w:r>
    </w:p>
    <w:p w:rsidR="003C1466" w:rsidRPr="006A2DCE" w:rsidRDefault="003C1466" w:rsidP="006A2DCE">
      <w:pPr>
        <w:pStyle w:val="ListParagraph"/>
        <w:numPr>
          <w:ilvl w:val="0"/>
          <w:numId w:val="1"/>
        </w:numPr>
        <w:spacing w:after="120"/>
        <w:rPr>
          <w:sz w:val="21"/>
          <w:szCs w:val="21"/>
        </w:rPr>
      </w:pPr>
      <w:r w:rsidRPr="006A2DCE">
        <w:rPr>
          <w:sz w:val="21"/>
          <w:szCs w:val="21"/>
        </w:rPr>
        <w:t xml:space="preserve">Consult the chart below to determine that the shoe/boot you are purchasing is appropriate for the hazard(s) you are facing.  </w:t>
      </w:r>
    </w:p>
    <w:tbl>
      <w:tblPr>
        <w:tblStyle w:val="TableGrid"/>
        <w:tblW w:w="0" w:type="auto"/>
        <w:tblLook w:val="04A0" w:firstRow="1" w:lastRow="0" w:firstColumn="1" w:lastColumn="0" w:noHBand="0" w:noVBand="1"/>
      </w:tblPr>
      <w:tblGrid>
        <w:gridCol w:w="1184"/>
        <w:gridCol w:w="8512"/>
      </w:tblGrid>
      <w:tr w:rsidR="003C1466" w:rsidRPr="00C34746" w:rsidTr="00CE227C">
        <w:tc>
          <w:tcPr>
            <w:tcW w:w="1278" w:type="dxa"/>
          </w:tcPr>
          <w:p w:rsidR="003C1466" w:rsidRPr="00C34746" w:rsidRDefault="003C1466" w:rsidP="00CE227C">
            <w:pPr>
              <w:rPr>
                <w:sz w:val="20"/>
              </w:rPr>
            </w:pPr>
            <w:r w:rsidRPr="00C34746">
              <w:rPr>
                <w:sz w:val="20"/>
              </w:rPr>
              <w:t>Code</w:t>
            </w:r>
          </w:p>
        </w:tc>
        <w:tc>
          <w:tcPr>
            <w:tcW w:w="9738" w:type="dxa"/>
          </w:tcPr>
          <w:p w:rsidR="003C1466" w:rsidRPr="00C34746" w:rsidRDefault="003C1466" w:rsidP="00CE227C">
            <w:pPr>
              <w:rPr>
                <w:sz w:val="20"/>
              </w:rPr>
            </w:pPr>
            <w:r w:rsidRPr="00C34746">
              <w:rPr>
                <w:sz w:val="20"/>
              </w:rPr>
              <w:t>Meaning</w:t>
            </w:r>
          </w:p>
        </w:tc>
      </w:tr>
      <w:tr w:rsidR="003C1466" w:rsidRPr="00C34746" w:rsidTr="00CE227C">
        <w:tc>
          <w:tcPr>
            <w:tcW w:w="1278" w:type="dxa"/>
          </w:tcPr>
          <w:p w:rsidR="003C1466" w:rsidRPr="00C34746" w:rsidRDefault="003C1466" w:rsidP="00CE227C">
            <w:pPr>
              <w:rPr>
                <w:sz w:val="20"/>
              </w:rPr>
            </w:pPr>
            <w:r w:rsidRPr="00C34746">
              <w:rPr>
                <w:sz w:val="20"/>
              </w:rPr>
              <w:t>CD</w:t>
            </w:r>
          </w:p>
        </w:tc>
        <w:tc>
          <w:tcPr>
            <w:tcW w:w="9738" w:type="dxa"/>
          </w:tcPr>
          <w:p w:rsidR="003C1466" w:rsidRPr="00C34746" w:rsidRDefault="003C1466" w:rsidP="00CE227C">
            <w:pPr>
              <w:rPr>
                <w:sz w:val="20"/>
              </w:rPr>
            </w:pPr>
            <w:r w:rsidRPr="00C34746">
              <w:rPr>
                <w:sz w:val="20"/>
              </w:rPr>
              <w:t>Identifies protection against conductive hazards</w:t>
            </w:r>
          </w:p>
        </w:tc>
      </w:tr>
      <w:tr w:rsidR="003C1466" w:rsidRPr="00C34746" w:rsidTr="00CE227C">
        <w:tc>
          <w:tcPr>
            <w:tcW w:w="1278" w:type="dxa"/>
          </w:tcPr>
          <w:p w:rsidR="003C1466" w:rsidRPr="00C34746" w:rsidRDefault="003C1466" w:rsidP="00CE227C">
            <w:pPr>
              <w:rPr>
                <w:sz w:val="20"/>
              </w:rPr>
            </w:pPr>
            <w:r w:rsidRPr="00C34746">
              <w:rPr>
                <w:sz w:val="20"/>
              </w:rPr>
              <w:t>EH</w:t>
            </w:r>
          </w:p>
        </w:tc>
        <w:tc>
          <w:tcPr>
            <w:tcW w:w="9738" w:type="dxa"/>
          </w:tcPr>
          <w:p w:rsidR="003C1466" w:rsidRPr="00C34746" w:rsidRDefault="003C1466" w:rsidP="00CE227C">
            <w:pPr>
              <w:rPr>
                <w:sz w:val="20"/>
              </w:rPr>
            </w:pPr>
            <w:r w:rsidRPr="00C34746">
              <w:rPr>
                <w:sz w:val="20"/>
              </w:rPr>
              <w:t>Identifies footwear with outsole and heal made of electrical insulation properties; one that is also shock resistant.</w:t>
            </w:r>
          </w:p>
        </w:tc>
      </w:tr>
      <w:tr w:rsidR="003C1466" w:rsidRPr="00C34746" w:rsidTr="00CE227C">
        <w:tc>
          <w:tcPr>
            <w:tcW w:w="1278" w:type="dxa"/>
          </w:tcPr>
          <w:p w:rsidR="003C1466" w:rsidRPr="00C34746" w:rsidRDefault="003C1466" w:rsidP="00CE227C">
            <w:pPr>
              <w:rPr>
                <w:sz w:val="20"/>
              </w:rPr>
            </w:pPr>
            <w:r w:rsidRPr="00C34746">
              <w:rPr>
                <w:sz w:val="20"/>
              </w:rPr>
              <w:t xml:space="preserve">SD </w:t>
            </w:r>
          </w:p>
        </w:tc>
        <w:tc>
          <w:tcPr>
            <w:tcW w:w="9738" w:type="dxa"/>
          </w:tcPr>
          <w:p w:rsidR="003C1466" w:rsidRPr="00C34746" w:rsidRDefault="003C1466" w:rsidP="00CE227C">
            <w:pPr>
              <w:rPr>
                <w:sz w:val="20"/>
              </w:rPr>
            </w:pPr>
            <w:r w:rsidRPr="00C34746">
              <w:rPr>
                <w:sz w:val="20"/>
              </w:rPr>
              <w:t>Identifies footwear designed to reduce the accumulation of excess static electricity</w:t>
            </w:r>
          </w:p>
        </w:tc>
      </w:tr>
      <w:tr w:rsidR="003C1466" w:rsidRPr="00C34746" w:rsidTr="00CE227C">
        <w:tc>
          <w:tcPr>
            <w:tcW w:w="1278" w:type="dxa"/>
          </w:tcPr>
          <w:p w:rsidR="003C1466" w:rsidRPr="00C34746" w:rsidRDefault="003C1466" w:rsidP="00CE227C">
            <w:pPr>
              <w:rPr>
                <w:sz w:val="20"/>
              </w:rPr>
            </w:pPr>
            <w:r w:rsidRPr="00C34746">
              <w:rPr>
                <w:sz w:val="20"/>
              </w:rPr>
              <w:t>PR</w:t>
            </w:r>
          </w:p>
        </w:tc>
        <w:tc>
          <w:tcPr>
            <w:tcW w:w="9738" w:type="dxa"/>
          </w:tcPr>
          <w:p w:rsidR="003C1466" w:rsidRPr="00C34746" w:rsidRDefault="003C1466" w:rsidP="00CE227C">
            <w:pPr>
              <w:rPr>
                <w:sz w:val="20"/>
              </w:rPr>
            </w:pPr>
            <w:r w:rsidRPr="00C34746">
              <w:rPr>
                <w:sz w:val="20"/>
              </w:rPr>
              <w:t>Identifies footwear designed to be puncture resistant</w:t>
            </w:r>
          </w:p>
        </w:tc>
      </w:tr>
      <w:tr w:rsidR="003C1466" w:rsidRPr="00C34746" w:rsidTr="00CE227C">
        <w:tc>
          <w:tcPr>
            <w:tcW w:w="1278" w:type="dxa"/>
          </w:tcPr>
          <w:p w:rsidR="003C1466" w:rsidRPr="00C34746" w:rsidRDefault="003C1466" w:rsidP="00CE227C">
            <w:pPr>
              <w:rPr>
                <w:sz w:val="20"/>
              </w:rPr>
            </w:pPr>
            <w:r w:rsidRPr="00C34746">
              <w:rPr>
                <w:sz w:val="20"/>
              </w:rPr>
              <w:t>Mt</w:t>
            </w:r>
          </w:p>
        </w:tc>
        <w:tc>
          <w:tcPr>
            <w:tcW w:w="9738" w:type="dxa"/>
          </w:tcPr>
          <w:p w:rsidR="003C1466" w:rsidRPr="00C34746" w:rsidRDefault="003C1466" w:rsidP="00CE227C">
            <w:pPr>
              <w:rPr>
                <w:sz w:val="20"/>
              </w:rPr>
            </w:pPr>
            <w:r w:rsidRPr="00C34746">
              <w:rPr>
                <w:sz w:val="20"/>
              </w:rPr>
              <w:t>Identifies footwear designed to be impact resistant to the top of the foot (metatarsal)</w:t>
            </w:r>
          </w:p>
        </w:tc>
      </w:tr>
      <w:tr w:rsidR="003C1466" w:rsidRPr="00C34746" w:rsidTr="00CE227C">
        <w:tc>
          <w:tcPr>
            <w:tcW w:w="1278" w:type="dxa"/>
          </w:tcPr>
          <w:p w:rsidR="003C1466" w:rsidRPr="00C34746" w:rsidRDefault="003C1466" w:rsidP="00CE227C">
            <w:pPr>
              <w:rPr>
                <w:sz w:val="20"/>
              </w:rPr>
            </w:pPr>
            <w:r w:rsidRPr="00C34746">
              <w:rPr>
                <w:sz w:val="20"/>
              </w:rPr>
              <w:t>CS</w:t>
            </w:r>
          </w:p>
        </w:tc>
        <w:tc>
          <w:tcPr>
            <w:tcW w:w="9738" w:type="dxa"/>
          </w:tcPr>
          <w:p w:rsidR="003C1466" w:rsidRPr="00C34746" w:rsidRDefault="003C1466" w:rsidP="00CE227C">
            <w:pPr>
              <w:rPr>
                <w:sz w:val="20"/>
              </w:rPr>
            </w:pPr>
            <w:r w:rsidRPr="00C34746">
              <w:rPr>
                <w:sz w:val="20"/>
              </w:rPr>
              <w:t>Identifies footwear which provides chain saw cut resistance</w:t>
            </w:r>
          </w:p>
        </w:tc>
      </w:tr>
      <w:tr w:rsidR="003C1466" w:rsidRPr="00C34746" w:rsidTr="00CE227C">
        <w:tc>
          <w:tcPr>
            <w:tcW w:w="1278" w:type="dxa"/>
          </w:tcPr>
          <w:p w:rsidR="003C1466" w:rsidRPr="00C34746" w:rsidRDefault="003C1466" w:rsidP="00CE227C">
            <w:pPr>
              <w:rPr>
                <w:sz w:val="20"/>
              </w:rPr>
            </w:pPr>
            <w:r w:rsidRPr="00C34746">
              <w:rPr>
                <w:sz w:val="20"/>
              </w:rPr>
              <w:t>DI</w:t>
            </w:r>
          </w:p>
        </w:tc>
        <w:tc>
          <w:tcPr>
            <w:tcW w:w="9738" w:type="dxa"/>
          </w:tcPr>
          <w:p w:rsidR="003C1466" w:rsidRPr="00C34746" w:rsidRDefault="003C1466" w:rsidP="00CE227C">
            <w:pPr>
              <w:rPr>
                <w:sz w:val="20"/>
              </w:rPr>
            </w:pPr>
            <w:r w:rsidRPr="00C34746">
              <w:rPr>
                <w:sz w:val="20"/>
              </w:rPr>
              <w:t>Identifies footwear which provides dielectric insulation</w:t>
            </w:r>
          </w:p>
        </w:tc>
      </w:tr>
      <w:tr w:rsidR="003C1466" w:rsidRPr="00C34746" w:rsidTr="00CE227C">
        <w:tc>
          <w:tcPr>
            <w:tcW w:w="1278" w:type="dxa"/>
          </w:tcPr>
          <w:p w:rsidR="003C1466" w:rsidRPr="00C34746" w:rsidRDefault="003C1466" w:rsidP="00CE227C">
            <w:pPr>
              <w:rPr>
                <w:sz w:val="20"/>
              </w:rPr>
            </w:pPr>
            <w:r w:rsidRPr="00C34746">
              <w:rPr>
                <w:sz w:val="20"/>
              </w:rPr>
              <w:t>I</w:t>
            </w:r>
          </w:p>
        </w:tc>
        <w:tc>
          <w:tcPr>
            <w:tcW w:w="9738" w:type="dxa"/>
          </w:tcPr>
          <w:p w:rsidR="003C1466" w:rsidRPr="00C34746" w:rsidRDefault="003C1466" w:rsidP="00CE227C">
            <w:pPr>
              <w:rPr>
                <w:sz w:val="20"/>
              </w:rPr>
            </w:pPr>
            <w:r w:rsidRPr="00C34746">
              <w:rPr>
                <w:sz w:val="20"/>
              </w:rPr>
              <w:t>Impact resistant footwear</w:t>
            </w:r>
          </w:p>
        </w:tc>
      </w:tr>
      <w:tr w:rsidR="003C1466" w:rsidRPr="00C34746" w:rsidTr="00CE227C">
        <w:tc>
          <w:tcPr>
            <w:tcW w:w="1278" w:type="dxa"/>
          </w:tcPr>
          <w:p w:rsidR="003C1466" w:rsidRPr="00C34746" w:rsidRDefault="003C1466" w:rsidP="00CE227C">
            <w:pPr>
              <w:rPr>
                <w:sz w:val="20"/>
              </w:rPr>
            </w:pPr>
            <w:r w:rsidRPr="00C34746">
              <w:rPr>
                <w:sz w:val="20"/>
              </w:rPr>
              <w:t>C</w:t>
            </w:r>
          </w:p>
        </w:tc>
        <w:tc>
          <w:tcPr>
            <w:tcW w:w="9738" w:type="dxa"/>
          </w:tcPr>
          <w:p w:rsidR="003C1466" w:rsidRPr="00C34746" w:rsidRDefault="003C1466" w:rsidP="00CE227C">
            <w:pPr>
              <w:rPr>
                <w:sz w:val="20"/>
              </w:rPr>
            </w:pPr>
            <w:r w:rsidRPr="00C34746">
              <w:rPr>
                <w:sz w:val="20"/>
              </w:rPr>
              <w:t xml:space="preserve">Compression resistant footwear </w:t>
            </w:r>
          </w:p>
        </w:tc>
      </w:tr>
    </w:tbl>
    <w:p w:rsidR="003C1466" w:rsidRDefault="003C1466" w:rsidP="006A2DCE">
      <w:pPr>
        <w:spacing w:before="120" w:after="240"/>
        <w:jc w:val="center"/>
      </w:pPr>
      <w:r w:rsidRPr="00C34746">
        <w:rPr>
          <w:noProof/>
          <w:sz w:val="20"/>
        </w:rPr>
        <w:drawing>
          <wp:anchor distT="0" distB="0" distL="114300" distR="114300" simplePos="0" relativeHeight="251660288" behindDoc="1" locked="0" layoutInCell="1" allowOverlap="1" wp14:anchorId="38828D4E" wp14:editId="0373BF35">
            <wp:simplePos x="0" y="0"/>
            <wp:positionH relativeFrom="margin">
              <wp:align>center</wp:align>
            </wp:positionH>
            <wp:positionV relativeFrom="paragraph">
              <wp:posOffset>269210</wp:posOffset>
            </wp:positionV>
            <wp:extent cx="4482465" cy="26219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2273" r="953"/>
                    <a:stretch/>
                  </pic:blipFill>
                  <pic:spPr bwMode="auto">
                    <a:xfrm>
                      <a:off x="0" y="0"/>
                      <a:ext cx="4482465" cy="2621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4746">
        <w:rPr>
          <w:sz w:val="20"/>
        </w:rPr>
        <w:t>Sample Label – the key requirements are highlighted in red</w:t>
      </w:r>
    </w:p>
    <w:p w:rsidR="003C1466" w:rsidRDefault="003C1466" w:rsidP="003C1466"/>
    <w:p w:rsidR="003C1466" w:rsidRDefault="003C1466" w:rsidP="003C1466"/>
    <w:p w:rsidR="003C1466" w:rsidRDefault="003C1466" w:rsidP="003C1466">
      <w:r>
        <w:rPr>
          <w:noProof/>
        </w:rPr>
        <mc:AlternateContent>
          <mc:Choice Requires="wps">
            <w:drawing>
              <wp:anchor distT="0" distB="0" distL="114300" distR="114300" simplePos="0" relativeHeight="251659264" behindDoc="0" locked="0" layoutInCell="1" allowOverlap="1" wp14:anchorId="0A7B0DE1" wp14:editId="2DD01801">
                <wp:simplePos x="0" y="0"/>
                <wp:positionH relativeFrom="column">
                  <wp:posOffset>1420771</wp:posOffset>
                </wp:positionH>
                <wp:positionV relativeFrom="paragraph">
                  <wp:posOffset>255078</wp:posOffset>
                </wp:positionV>
                <wp:extent cx="1483360" cy="577850"/>
                <wp:effectExtent l="19050" t="19050" r="21590" b="12700"/>
                <wp:wrapNone/>
                <wp:docPr id="1" name="Rectangle 1"/>
                <wp:cNvGraphicFramePr/>
                <a:graphic xmlns:a="http://schemas.openxmlformats.org/drawingml/2006/main">
                  <a:graphicData uri="http://schemas.microsoft.com/office/word/2010/wordprocessingShape">
                    <wps:wsp>
                      <wps:cNvSpPr/>
                      <wps:spPr>
                        <a:xfrm>
                          <a:off x="0" y="0"/>
                          <a:ext cx="1483360" cy="5778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3CFD6B" id="Rectangle 1" o:spid="_x0000_s1026" style="position:absolute;margin-left:111.85pt;margin-top:20.1pt;width:116.8pt;height: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" filled="f" strokecolor="red" strokeweight="3pt"/>
            </w:pict>
          </mc:Fallback>
        </mc:AlternateContent>
      </w:r>
    </w:p>
    <w:p w:rsidR="003C1466" w:rsidRDefault="003C1466" w:rsidP="003C1466"/>
    <w:p w:rsidR="003C1466" w:rsidRDefault="003C1466" w:rsidP="003C1466"/>
    <w:p w:rsidR="003C1466" w:rsidRDefault="003C1466" w:rsidP="003C1466"/>
    <w:p w:rsidR="003C1466" w:rsidRDefault="003C1466" w:rsidP="003C1466"/>
    <w:p w:rsidR="003C1466" w:rsidRDefault="003C1466" w:rsidP="003C1466"/>
    <w:p w:rsidR="006904DF" w:rsidRDefault="006904DF" w:rsidP="003C1466"/>
    <w:p w:rsidR="00E00C0B" w:rsidRPr="006A2DCE" w:rsidRDefault="003C1466" w:rsidP="006A2DCE">
      <w:pPr>
        <w:spacing w:after="120"/>
        <w:jc w:val="center"/>
      </w:pPr>
      <w:r w:rsidRPr="006A2DCE">
        <w:rPr>
          <w:sz w:val="20"/>
        </w:rPr>
        <w:t xml:space="preserve">If you have any questions regarding safety footwear, please contact Environmental Health &amp; Safety. </w:t>
      </w:r>
      <w:hyperlink r:id="rId9" w:history="1">
        <w:r w:rsidRPr="006A2DCE">
          <w:rPr>
            <w:rStyle w:val="Hyperlink"/>
            <w:sz w:val="20"/>
          </w:rPr>
          <w:t>http://safety.uoregon.edu/</w:t>
        </w:r>
      </w:hyperlink>
      <w:r w:rsidRPr="006A2DCE">
        <w:rPr>
          <w:sz w:val="20"/>
        </w:rPr>
        <w:t xml:space="preserve">  541-346-3192</w:t>
      </w:r>
    </w:p>
    <w:p w:rsidR="00E00C0B" w:rsidRPr="006A2DCE" w:rsidRDefault="00E00C0B" w:rsidP="006A2DCE">
      <w:pPr>
        <w:spacing w:after="240"/>
        <w:jc w:val="center"/>
        <w:rPr>
          <w:b/>
          <w:sz w:val="24"/>
        </w:rPr>
      </w:pPr>
      <w:r w:rsidRPr="006A2DCE">
        <w:rPr>
          <w:b/>
          <w:sz w:val="24"/>
        </w:rPr>
        <w:t xml:space="preserve">I have read and understand that I must purchase a safety shoe </w:t>
      </w:r>
      <w:r w:rsidR="00C3576A" w:rsidRPr="006A2DCE">
        <w:rPr>
          <w:b/>
          <w:sz w:val="24"/>
        </w:rPr>
        <w:t>that fit the above requirements</w:t>
      </w:r>
    </w:p>
    <w:p w:rsidR="00C3576A" w:rsidRPr="006A2DCE" w:rsidRDefault="00C3576A" w:rsidP="00C3576A">
      <w:pPr>
        <w:jc w:val="center"/>
        <w:rPr>
          <w:b/>
          <w:sz w:val="24"/>
        </w:rPr>
      </w:pPr>
      <w:r w:rsidRPr="006A2DCE">
        <w:rPr>
          <w:b/>
          <w:sz w:val="24"/>
        </w:rPr>
        <w:t xml:space="preserve">Employee Initials: </w:t>
      </w:r>
      <w:r w:rsidRPr="006A2DCE">
        <w:rPr>
          <w:b/>
          <w:sz w:val="24"/>
        </w:rPr>
        <w:softHyphen/>
      </w:r>
      <w:r w:rsidRPr="006A2DCE">
        <w:rPr>
          <w:b/>
          <w:sz w:val="24"/>
        </w:rPr>
        <w:softHyphen/>
      </w:r>
      <w:r w:rsidRPr="006A2DCE">
        <w:rPr>
          <w:b/>
          <w:sz w:val="24"/>
        </w:rPr>
        <w:softHyphen/>
        <w:t xml:space="preserve">_______________     Date: </w:t>
      </w:r>
      <w:r w:rsidRPr="006A2DCE">
        <w:rPr>
          <w:b/>
          <w:sz w:val="24"/>
        </w:rPr>
        <w:softHyphen/>
      </w:r>
      <w:r w:rsidRPr="006A2DCE">
        <w:rPr>
          <w:b/>
          <w:sz w:val="24"/>
        </w:rPr>
        <w:softHyphen/>
        <w:t>_______________</w:t>
      </w:r>
    </w:p>
    <w:sectPr w:rsidR="00C3576A" w:rsidRPr="006A2DCE" w:rsidSect="006A2DCE">
      <w:headerReference w:type="default" r:id="rId10"/>
      <w:headerReference w:type="first" r:id="rId11"/>
      <w:pgSz w:w="12240" w:h="15840"/>
      <w:pgMar w:top="1584" w:right="1267" w:bottom="1008" w:left="1267"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EB7" w:rsidRDefault="002D2EB7" w:rsidP="00A924FC">
      <w:pPr>
        <w:spacing w:after="0" w:line="240" w:lineRule="auto"/>
      </w:pPr>
      <w:r>
        <w:separator/>
      </w:r>
    </w:p>
  </w:endnote>
  <w:endnote w:type="continuationSeparator" w:id="0">
    <w:p w:rsidR="002D2EB7" w:rsidRDefault="002D2EB7" w:rsidP="00A92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EB7" w:rsidRDefault="002D2EB7" w:rsidP="00A924FC">
      <w:pPr>
        <w:spacing w:after="0" w:line="240" w:lineRule="auto"/>
      </w:pPr>
      <w:r>
        <w:separator/>
      </w:r>
    </w:p>
  </w:footnote>
  <w:footnote w:type="continuationSeparator" w:id="0">
    <w:p w:rsidR="002D2EB7" w:rsidRDefault="002D2EB7" w:rsidP="00A92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FC" w:rsidRDefault="00A924FC">
    <w:pPr>
      <w:pStyle w:val="Heade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4398264" cy="36576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8264" cy="365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FC" w:rsidRDefault="001F7B82">
    <w:pPr>
      <w:pStyle w:val="Header"/>
    </w:pPr>
    <w:r w:rsidRPr="001F7B82">
      <w:rPr>
        <w:noProof/>
      </w:rPr>
      <w:drawing>
        <wp:anchor distT="0" distB="0" distL="114300" distR="114300" simplePos="0" relativeHeight="251657215" behindDoc="0" locked="0" layoutInCell="1" allowOverlap="1" wp14:anchorId="23C91AAE" wp14:editId="751141C0">
          <wp:simplePos x="0" y="0"/>
          <wp:positionH relativeFrom="column">
            <wp:posOffset>-228600</wp:posOffset>
          </wp:positionH>
          <wp:positionV relativeFrom="paragraph">
            <wp:posOffset>9525</wp:posOffset>
          </wp:positionV>
          <wp:extent cx="4552950" cy="373193"/>
          <wp:effectExtent l="0" t="0" r="0" b="8255"/>
          <wp:wrapNone/>
          <wp:docPr id="12" name="Picture 12" descr="C:\Users\saray\AppData\Local\Microsoft\Windows\INetCache\Content.Outlook\5JPA0738\FASSand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y\AppData\Local\Microsoft\Windows\INetCache\Content.Outlook\5JPA0738\FASSand (00000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2950" cy="3731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3885"/>
    <w:multiLevelType w:val="hybridMultilevel"/>
    <w:tmpl w:val="9316552A"/>
    <w:lvl w:ilvl="0" w:tplc="7F266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FC"/>
    <w:rsid w:val="001618DD"/>
    <w:rsid w:val="001808DB"/>
    <w:rsid w:val="001F7B82"/>
    <w:rsid w:val="00250710"/>
    <w:rsid w:val="002D2EB7"/>
    <w:rsid w:val="003C1466"/>
    <w:rsid w:val="006904DF"/>
    <w:rsid w:val="006A2DCE"/>
    <w:rsid w:val="00737AE9"/>
    <w:rsid w:val="007C2A3D"/>
    <w:rsid w:val="009A0557"/>
    <w:rsid w:val="009E4AE4"/>
    <w:rsid w:val="00A924FC"/>
    <w:rsid w:val="00AD6EF9"/>
    <w:rsid w:val="00C22C95"/>
    <w:rsid w:val="00C34746"/>
    <w:rsid w:val="00C3576A"/>
    <w:rsid w:val="00CA3DA3"/>
    <w:rsid w:val="00D40AB3"/>
    <w:rsid w:val="00E00C0B"/>
    <w:rsid w:val="00E9751D"/>
    <w:rsid w:val="00E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173174-24E9-4758-9A2A-CA1764A8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4FC"/>
  </w:style>
  <w:style w:type="paragraph" w:styleId="Footer">
    <w:name w:val="footer"/>
    <w:basedOn w:val="Normal"/>
    <w:link w:val="FooterChar"/>
    <w:uiPriority w:val="99"/>
    <w:unhideWhenUsed/>
    <w:rsid w:val="00A92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4FC"/>
  </w:style>
  <w:style w:type="paragraph" w:styleId="BalloonText">
    <w:name w:val="Balloon Text"/>
    <w:basedOn w:val="Normal"/>
    <w:link w:val="BalloonTextChar"/>
    <w:uiPriority w:val="99"/>
    <w:semiHidden/>
    <w:unhideWhenUsed/>
    <w:rsid w:val="007C2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3D"/>
    <w:rPr>
      <w:rFonts w:ascii="Segoe UI" w:hAnsi="Segoe UI" w:cs="Segoe UI"/>
      <w:sz w:val="18"/>
      <w:szCs w:val="18"/>
    </w:rPr>
  </w:style>
  <w:style w:type="paragraph" w:styleId="ListParagraph">
    <w:name w:val="List Paragraph"/>
    <w:basedOn w:val="Normal"/>
    <w:uiPriority w:val="34"/>
    <w:qFormat/>
    <w:rsid w:val="003C1466"/>
    <w:pPr>
      <w:ind w:left="720"/>
      <w:contextualSpacing/>
    </w:pPr>
  </w:style>
  <w:style w:type="table" w:styleId="TableGrid">
    <w:name w:val="Table Grid"/>
    <w:basedOn w:val="TableNormal"/>
    <w:uiPriority w:val="39"/>
    <w:rsid w:val="003C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4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fety.uorego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1AE1F-4E90-4E0A-A64F-562085C9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Oregon - Campus Operations</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Lee</dc:creator>
  <cp:keywords/>
  <dc:description/>
  <cp:lastModifiedBy>Robilyn Eggertsen</cp:lastModifiedBy>
  <cp:revision>2</cp:revision>
  <cp:lastPrinted>2016-11-28T22:11:00Z</cp:lastPrinted>
  <dcterms:created xsi:type="dcterms:W3CDTF">2017-07-14T23:01:00Z</dcterms:created>
  <dcterms:modified xsi:type="dcterms:W3CDTF">2017-07-14T23:01:00Z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719217097</vt:i4>
  </property>
  <property fmtid="{D5CDD505-2E9C-101B-9397-08002B2CF9AE}" pid="3" name="_NewReviewCycle">
    <vt:lpwstr/>
  </property>
  <property fmtid="{D5CDD505-2E9C-101B-9397-08002B2CF9AE}" pid="4" name="_EmailSubject">
    <vt:lpwstr>Safety shoe program annual </vt:lpwstr>
  </property>
  <property fmtid="{D5CDD505-2E9C-101B-9397-08002B2CF9AE}" pid="5" name="_AuthorEmail">
    <vt:lpwstr>jmarchet@uoregon.edu</vt:lpwstr>
  </property>
  <property fmtid="{D5CDD505-2E9C-101B-9397-08002B2CF9AE}" pid="6" name="_AuthorEmailDisplayName">
    <vt:lpwstr>Jon Marchetta</vt:lpwstr>
  </property>
  <property fmtid="{D5CDD505-2E9C-101B-9397-08002B2CF9AE}" pid="7" name="_PreviousAdHocReviewCycleID">
    <vt:i4>-226229288</vt:i4>
  </property>
  <property fmtid="{D5CDD505-2E9C-101B-9397-08002B2CF9AE}" pid="8" name="_ReviewingToolsShownOnce">
    <vt:lpwstr/>
  </property>
</Properties>
</file>