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C1805" w14:textId="18658F4C" w:rsidR="0068465A" w:rsidRDefault="00E36296" w:rsidP="0068465A">
      <w:pPr>
        <w:spacing w:before="360"/>
        <w:jc w:val="center"/>
        <w:rPr>
          <w:rFonts w:ascii="Melior" w:hAnsi="Melior"/>
          <w:b/>
          <w:sz w:val="28"/>
          <w:szCs w:val="28"/>
        </w:rPr>
      </w:pPr>
      <w:r w:rsidRPr="0068465A">
        <w:rPr>
          <w:rFonts w:ascii="Melior" w:hAnsi="Melior"/>
          <w:b/>
          <w:sz w:val="28"/>
          <w:szCs w:val="28"/>
        </w:rPr>
        <w:t>I</w:t>
      </w:r>
      <w:r w:rsidR="0068465A">
        <w:rPr>
          <w:rFonts w:ascii="Melior" w:hAnsi="Melior"/>
          <w:b/>
          <w:sz w:val="28"/>
          <w:szCs w:val="28"/>
        </w:rPr>
        <w:t xml:space="preserve">NSTITUTIONAL </w:t>
      </w:r>
      <w:r w:rsidRPr="0068465A">
        <w:rPr>
          <w:rFonts w:ascii="Melior" w:hAnsi="Melior"/>
          <w:b/>
          <w:sz w:val="28"/>
          <w:szCs w:val="28"/>
        </w:rPr>
        <w:t>B</w:t>
      </w:r>
      <w:r w:rsidR="0068465A">
        <w:rPr>
          <w:rFonts w:ascii="Melior" w:hAnsi="Melior"/>
          <w:b/>
          <w:sz w:val="28"/>
          <w:szCs w:val="28"/>
        </w:rPr>
        <w:t xml:space="preserve">IOSAFETY </w:t>
      </w:r>
      <w:r w:rsidRPr="0068465A">
        <w:rPr>
          <w:rFonts w:ascii="Melior" w:hAnsi="Melior"/>
          <w:b/>
          <w:sz w:val="28"/>
          <w:szCs w:val="28"/>
        </w:rPr>
        <w:t>C</w:t>
      </w:r>
      <w:r w:rsidR="0068465A">
        <w:rPr>
          <w:rFonts w:ascii="Melior" w:hAnsi="Melior"/>
          <w:b/>
          <w:sz w:val="28"/>
          <w:szCs w:val="28"/>
        </w:rPr>
        <w:t>OMMITTEE</w:t>
      </w:r>
    </w:p>
    <w:p w14:paraId="36786B3B" w14:textId="2B69B4E3" w:rsidR="00DC7C4B" w:rsidRPr="0068465A" w:rsidRDefault="00DC7C4B" w:rsidP="00DC7C4B">
      <w:pPr>
        <w:jc w:val="center"/>
        <w:rPr>
          <w:rFonts w:ascii="Melior" w:hAnsi="Melior"/>
          <w:b/>
        </w:rPr>
      </w:pPr>
      <w:r w:rsidRPr="0068465A">
        <w:rPr>
          <w:rFonts w:ascii="Melior" w:hAnsi="Melior"/>
          <w:b/>
        </w:rPr>
        <w:t>BYLAWS</w:t>
      </w:r>
      <w:r w:rsidR="00F9724D" w:rsidRPr="0068465A">
        <w:rPr>
          <w:rFonts w:ascii="Melior" w:hAnsi="Melior"/>
          <w:b/>
        </w:rPr>
        <w:t xml:space="preserve"> &amp; OPERATING PROCEDURES</w:t>
      </w:r>
    </w:p>
    <w:p w14:paraId="44B677D9" w14:textId="55F36F45" w:rsidR="00DC7C4B" w:rsidRPr="0068465A" w:rsidRDefault="005C778B" w:rsidP="0068465A">
      <w:pPr>
        <w:spacing w:before="120" w:after="360"/>
        <w:jc w:val="center"/>
        <w:rPr>
          <w:rFonts w:ascii="Melior" w:hAnsi="Melior"/>
        </w:rPr>
      </w:pPr>
      <w:r>
        <w:rPr>
          <w:rFonts w:ascii="Melior" w:hAnsi="Melior"/>
        </w:rPr>
        <w:t xml:space="preserve">Revised </w:t>
      </w:r>
      <w:r w:rsidR="00456145">
        <w:rPr>
          <w:rFonts w:ascii="Melior" w:hAnsi="Melior"/>
        </w:rPr>
        <w:t>and</w:t>
      </w:r>
      <w:r>
        <w:rPr>
          <w:rFonts w:ascii="Melior" w:hAnsi="Melior"/>
        </w:rPr>
        <w:t xml:space="preserve"> Approv</w:t>
      </w:r>
      <w:r w:rsidR="00456145">
        <w:rPr>
          <w:rFonts w:ascii="Melior" w:hAnsi="Melior"/>
        </w:rPr>
        <w:t>ed</w:t>
      </w:r>
      <w:r>
        <w:rPr>
          <w:rFonts w:ascii="Melior" w:hAnsi="Melior"/>
        </w:rPr>
        <w:t xml:space="preserve"> </w:t>
      </w:r>
      <w:r w:rsidR="00456145">
        <w:rPr>
          <w:rFonts w:ascii="Melior" w:hAnsi="Melior"/>
        </w:rPr>
        <w:t>May</w:t>
      </w:r>
      <w:bookmarkStart w:id="0" w:name="_GoBack"/>
      <w:bookmarkEnd w:id="0"/>
      <w:r w:rsidR="0092631C">
        <w:rPr>
          <w:rFonts w:ascii="Melior" w:hAnsi="Melior"/>
        </w:rPr>
        <w:t xml:space="preserve"> </w:t>
      </w:r>
      <w:r>
        <w:rPr>
          <w:rFonts w:ascii="Melior" w:hAnsi="Melior"/>
        </w:rPr>
        <w:t>2023</w:t>
      </w:r>
    </w:p>
    <w:p w14:paraId="27F675B2" w14:textId="6340825C" w:rsidR="00DC7C4B" w:rsidRPr="00E702DD" w:rsidRDefault="009371E6" w:rsidP="0054727D">
      <w:pPr>
        <w:pStyle w:val="Heading1"/>
      </w:pPr>
      <w:r w:rsidRPr="00E702DD">
        <w:t>Introduction</w:t>
      </w:r>
    </w:p>
    <w:p w14:paraId="350DE423" w14:textId="4F0EA696" w:rsidR="00DC7C4B" w:rsidRPr="00E64A72" w:rsidRDefault="00DC7C4B" w:rsidP="00E702DD">
      <w:pPr>
        <w:tabs>
          <w:tab w:val="left" w:pos="720"/>
        </w:tabs>
        <w:spacing w:after="120"/>
        <w:ind w:left="720"/>
        <w:rPr>
          <w:rFonts w:ascii="Melior" w:hAnsi="Melior"/>
        </w:rPr>
      </w:pPr>
      <w:r w:rsidRPr="00E64A72">
        <w:rPr>
          <w:rFonts w:ascii="Melior" w:hAnsi="Melior"/>
        </w:rPr>
        <w:t>The Institutional Biosafety Committee (IBC) is established by the authority of the President of the University of Oregon</w:t>
      </w:r>
      <w:r w:rsidR="00C75974" w:rsidRPr="00E64A72">
        <w:rPr>
          <w:rFonts w:ascii="Melior" w:hAnsi="Melior"/>
        </w:rPr>
        <w:t xml:space="preserve"> (UO)</w:t>
      </w:r>
      <w:r w:rsidR="00630913" w:rsidRPr="00E64A72">
        <w:rPr>
          <w:rFonts w:ascii="Melior" w:hAnsi="Melior"/>
        </w:rPr>
        <w:t xml:space="preserve">. </w:t>
      </w:r>
      <w:r w:rsidRPr="00E64A72">
        <w:rPr>
          <w:rFonts w:ascii="Melior" w:hAnsi="Melior"/>
        </w:rPr>
        <w:t xml:space="preserve">The Committee is delegated primary responsibility for the safe use of </w:t>
      </w:r>
      <w:r w:rsidR="00E36296" w:rsidRPr="00E64A72">
        <w:rPr>
          <w:rFonts w:ascii="Melior" w:hAnsi="Melior"/>
        </w:rPr>
        <w:t>recombinant or synthetic nucleic acid molecules</w:t>
      </w:r>
      <w:r w:rsidRPr="00E64A72">
        <w:rPr>
          <w:rFonts w:ascii="Melior" w:hAnsi="Melior"/>
        </w:rPr>
        <w:t xml:space="preserve"> </w:t>
      </w:r>
      <w:r w:rsidR="00E36296" w:rsidRPr="00E64A72">
        <w:rPr>
          <w:rFonts w:ascii="Melior" w:hAnsi="Melior"/>
        </w:rPr>
        <w:t>as required by Section IV-B-1 of the</w:t>
      </w:r>
      <w:r w:rsidRPr="00E64A72">
        <w:rPr>
          <w:rFonts w:ascii="Melior" w:hAnsi="Melior"/>
        </w:rPr>
        <w:t xml:space="preserve"> </w:t>
      </w:r>
      <w:r w:rsidRPr="00E64A72">
        <w:rPr>
          <w:rFonts w:ascii="Melior" w:hAnsi="Melior"/>
          <w:i/>
        </w:rPr>
        <w:t xml:space="preserve">NIH Guidelines for Research Involving </w:t>
      </w:r>
      <w:r w:rsidR="00E36296" w:rsidRPr="00E64A72">
        <w:rPr>
          <w:rFonts w:ascii="Melior" w:hAnsi="Melior"/>
          <w:i/>
        </w:rPr>
        <w:t>Recombinant or Synthetic Nucleic Acid</w:t>
      </w:r>
      <w:r w:rsidRPr="00E64A72">
        <w:rPr>
          <w:rFonts w:ascii="Melior" w:hAnsi="Melior"/>
          <w:i/>
        </w:rPr>
        <w:t xml:space="preserve"> Molecules</w:t>
      </w:r>
      <w:r w:rsidR="00D336C0" w:rsidRPr="00E64A72">
        <w:rPr>
          <w:rFonts w:ascii="Melior" w:hAnsi="Melior"/>
          <w:i/>
        </w:rPr>
        <w:t xml:space="preserve"> </w:t>
      </w:r>
      <w:r w:rsidR="00E64A72">
        <w:rPr>
          <w:rFonts w:ascii="Melior" w:hAnsi="Melior"/>
        </w:rPr>
        <w:t xml:space="preserve">(hereafter referred to as the </w:t>
      </w:r>
      <w:r w:rsidR="00D336C0" w:rsidRPr="00E64A72">
        <w:rPr>
          <w:rFonts w:ascii="Melior" w:hAnsi="Melior"/>
          <w:i/>
        </w:rPr>
        <w:t>NIH Guidelines</w:t>
      </w:r>
      <w:r w:rsidR="005C778B">
        <w:rPr>
          <w:rFonts w:ascii="Melior" w:hAnsi="Melior"/>
          <w:i/>
        </w:rPr>
        <w:t xml:space="preserve"> (April 2019)</w:t>
      </w:r>
      <w:r w:rsidR="00D336C0" w:rsidRPr="00E64A72">
        <w:rPr>
          <w:rFonts w:ascii="Melior" w:hAnsi="Melior"/>
        </w:rPr>
        <w:t>)</w:t>
      </w:r>
      <w:r w:rsidR="00155B26" w:rsidRPr="00E64A72">
        <w:rPr>
          <w:rFonts w:ascii="Melior" w:hAnsi="Melior"/>
        </w:rPr>
        <w:t>.</w:t>
      </w:r>
      <w:r w:rsidRPr="00E64A72">
        <w:rPr>
          <w:rFonts w:ascii="Melior" w:hAnsi="Melior"/>
        </w:rPr>
        <w:t xml:space="preserve"> Compliance shall be reviewed for all aspects of the University operation including, but not limited to</w:t>
      </w:r>
      <w:r w:rsidR="00B1778B" w:rsidRPr="00E64A72">
        <w:rPr>
          <w:rFonts w:ascii="Melior" w:hAnsi="Melior"/>
        </w:rPr>
        <w:t>,</w:t>
      </w:r>
      <w:r w:rsidRPr="00E64A72">
        <w:rPr>
          <w:rFonts w:ascii="Melior" w:hAnsi="Melior"/>
        </w:rPr>
        <w:t xml:space="preserve"> instructional, research, and support functions</w:t>
      </w:r>
      <w:r w:rsidR="008F51B2" w:rsidRPr="00E64A72">
        <w:rPr>
          <w:rFonts w:ascii="Melior" w:hAnsi="Melior"/>
        </w:rPr>
        <w:t xml:space="preserve"> for research the University sponsors or participates in</w:t>
      </w:r>
      <w:r w:rsidRPr="00E64A72">
        <w:rPr>
          <w:rFonts w:ascii="Melior" w:hAnsi="Melior"/>
        </w:rPr>
        <w:t>. Through this authority, the Committee serves as the administrative body to review</w:t>
      </w:r>
      <w:r w:rsidR="00F07FE1" w:rsidRPr="00E64A72">
        <w:rPr>
          <w:rFonts w:ascii="Melior" w:hAnsi="Melior"/>
        </w:rPr>
        <w:t xml:space="preserve"> and approve</w:t>
      </w:r>
      <w:r w:rsidRPr="00E64A72">
        <w:rPr>
          <w:rFonts w:ascii="Melior" w:hAnsi="Melior"/>
        </w:rPr>
        <w:t xml:space="preserve"> all uses of these materials.</w:t>
      </w:r>
      <w:r w:rsidR="009E5589" w:rsidRPr="00E64A72">
        <w:rPr>
          <w:rFonts w:ascii="Melior" w:hAnsi="Melior"/>
        </w:rPr>
        <w:t xml:space="preserve"> The bylaws shall be amended as needed by vote of the committee.</w:t>
      </w:r>
    </w:p>
    <w:p w14:paraId="25CE71C5" w14:textId="431C3CEA" w:rsidR="009371E6" w:rsidRPr="00E64A72" w:rsidRDefault="007F7885" w:rsidP="0054727D">
      <w:pPr>
        <w:pStyle w:val="Heading1"/>
      </w:pPr>
      <w:r w:rsidRPr="00E64A72">
        <w:t xml:space="preserve">IBC </w:t>
      </w:r>
      <w:r w:rsidR="009371E6" w:rsidRPr="00E64A72">
        <w:t>Responsibilities</w:t>
      </w:r>
    </w:p>
    <w:p w14:paraId="7BEF497C" w14:textId="59DB1759" w:rsidR="00014C7D" w:rsidRPr="005C778B" w:rsidRDefault="009371E6" w:rsidP="00E702DD">
      <w:pPr>
        <w:spacing w:after="120"/>
        <w:ind w:left="720"/>
        <w:rPr>
          <w:rFonts w:ascii="Melior" w:hAnsi="Melior"/>
        </w:rPr>
      </w:pPr>
      <w:r w:rsidRPr="005C778B">
        <w:rPr>
          <w:rFonts w:ascii="Melior" w:hAnsi="Melior"/>
        </w:rPr>
        <w:t>The UO IBC</w:t>
      </w:r>
      <w:r w:rsidR="000937DD" w:rsidRPr="005C778B">
        <w:rPr>
          <w:rFonts w:ascii="Melior" w:hAnsi="Melior"/>
        </w:rPr>
        <w:t xml:space="preserve"> </w:t>
      </w:r>
      <w:r w:rsidRPr="005C778B">
        <w:rPr>
          <w:rFonts w:ascii="Melior" w:hAnsi="Melior"/>
        </w:rPr>
        <w:t xml:space="preserve">is </w:t>
      </w:r>
      <w:r w:rsidR="00014C7D" w:rsidRPr="005C778B">
        <w:rPr>
          <w:rFonts w:ascii="Melior" w:hAnsi="Melior"/>
        </w:rPr>
        <w:t xml:space="preserve">responsible for reviewing proposed research for compliance with the </w:t>
      </w:r>
      <w:r w:rsidR="00014C7D" w:rsidRPr="005C778B">
        <w:rPr>
          <w:rFonts w:ascii="Melior" w:hAnsi="Melior"/>
          <w:i/>
        </w:rPr>
        <w:t>NIH Guidelines</w:t>
      </w:r>
      <w:r w:rsidR="00014C7D" w:rsidRPr="005C778B">
        <w:rPr>
          <w:rFonts w:ascii="Melior" w:hAnsi="Melior"/>
        </w:rPr>
        <w:t xml:space="preserve"> including the following:</w:t>
      </w:r>
    </w:p>
    <w:p w14:paraId="25E31FB9" w14:textId="5101B704" w:rsidR="00014C7D" w:rsidRPr="005C778B" w:rsidRDefault="00D336C0" w:rsidP="00E702DD">
      <w:pPr>
        <w:pStyle w:val="ListParagraph"/>
        <w:numPr>
          <w:ilvl w:val="0"/>
          <w:numId w:val="20"/>
        </w:numPr>
        <w:spacing w:after="60"/>
        <w:ind w:left="1440"/>
        <w:rPr>
          <w:rFonts w:ascii="Melior" w:hAnsi="Melior"/>
        </w:rPr>
      </w:pPr>
      <w:r w:rsidRPr="005C778B">
        <w:rPr>
          <w:rFonts w:ascii="Melior" w:hAnsi="Melior"/>
        </w:rPr>
        <w:t>Determination</w:t>
      </w:r>
      <w:r w:rsidR="00014C7D" w:rsidRPr="005C778B">
        <w:rPr>
          <w:rFonts w:ascii="Melior" w:hAnsi="Melior"/>
        </w:rPr>
        <w:t xml:space="preserve"> of the</w:t>
      </w:r>
      <w:r w:rsidRPr="005C778B">
        <w:rPr>
          <w:rFonts w:ascii="Melior" w:hAnsi="Melior"/>
        </w:rPr>
        <w:t xml:space="preserve"> appropriate</w:t>
      </w:r>
      <w:r w:rsidR="00014C7D" w:rsidRPr="005C778B">
        <w:rPr>
          <w:rFonts w:ascii="Melior" w:hAnsi="Melior"/>
        </w:rPr>
        <w:t xml:space="preserve"> </w:t>
      </w:r>
      <w:r w:rsidRPr="005C778B">
        <w:rPr>
          <w:rFonts w:ascii="Melior" w:hAnsi="Melior"/>
        </w:rPr>
        <w:t>containment level for the work being proposed</w:t>
      </w:r>
    </w:p>
    <w:p w14:paraId="1544B17C" w14:textId="77777777" w:rsidR="00014C7D" w:rsidRPr="005C778B" w:rsidRDefault="00014C7D" w:rsidP="00E702DD">
      <w:pPr>
        <w:pStyle w:val="ListParagraph"/>
        <w:numPr>
          <w:ilvl w:val="0"/>
          <w:numId w:val="20"/>
        </w:numPr>
        <w:spacing w:after="60"/>
        <w:ind w:left="1440"/>
        <w:rPr>
          <w:rFonts w:ascii="Melior" w:hAnsi="Melior"/>
        </w:rPr>
      </w:pPr>
      <w:r w:rsidRPr="005C778B">
        <w:rPr>
          <w:rFonts w:ascii="Melior" w:hAnsi="Melior"/>
        </w:rPr>
        <w:t>Assessment of the laboratory facility, practices and procedures, and traini</w:t>
      </w:r>
      <w:r w:rsidR="00CD5EDF" w:rsidRPr="005C778B">
        <w:rPr>
          <w:rFonts w:ascii="Melior" w:hAnsi="Melior"/>
        </w:rPr>
        <w:t>ng as presented for the research registration</w:t>
      </w:r>
    </w:p>
    <w:p w14:paraId="07599B25" w14:textId="77777777" w:rsidR="00014C7D" w:rsidRPr="005C778B" w:rsidRDefault="00014C7D" w:rsidP="00E702DD">
      <w:pPr>
        <w:pStyle w:val="ListParagraph"/>
        <w:numPr>
          <w:ilvl w:val="0"/>
          <w:numId w:val="20"/>
        </w:numPr>
        <w:spacing w:after="120"/>
        <w:ind w:left="1440"/>
        <w:rPr>
          <w:rFonts w:ascii="Melior" w:hAnsi="Melior"/>
        </w:rPr>
      </w:pPr>
      <w:r w:rsidRPr="005C778B">
        <w:rPr>
          <w:rFonts w:ascii="Melior" w:hAnsi="Melior"/>
        </w:rPr>
        <w:t>Assessment of the emergency plan covering spills and personnel exposures resulting from such activities</w:t>
      </w:r>
    </w:p>
    <w:p w14:paraId="3A29E6E3" w14:textId="07DFB75D" w:rsidR="009371E6" w:rsidRPr="00E64A72" w:rsidRDefault="00D336C0" w:rsidP="00E702DD">
      <w:pPr>
        <w:spacing w:after="120"/>
        <w:ind w:left="720"/>
        <w:rPr>
          <w:rFonts w:ascii="Melior" w:hAnsi="Melior"/>
        </w:rPr>
      </w:pPr>
      <w:r w:rsidRPr="00E64A72">
        <w:rPr>
          <w:rFonts w:ascii="Melior" w:hAnsi="Melior"/>
        </w:rPr>
        <w:t xml:space="preserve">The </w:t>
      </w:r>
      <w:r w:rsidR="000937DD" w:rsidRPr="00E64A72">
        <w:rPr>
          <w:rFonts w:ascii="Melior" w:hAnsi="Melior"/>
        </w:rPr>
        <w:t xml:space="preserve">Committee </w:t>
      </w:r>
      <w:r w:rsidRPr="00E64A72">
        <w:rPr>
          <w:rFonts w:ascii="Melior" w:hAnsi="Melior"/>
        </w:rPr>
        <w:t>will r</w:t>
      </w:r>
      <w:r w:rsidR="009371E6" w:rsidRPr="00E64A72">
        <w:rPr>
          <w:rFonts w:ascii="Melior" w:hAnsi="Melior"/>
        </w:rPr>
        <w:t>espond to requests from other institutional entities (</w:t>
      </w:r>
      <w:r w:rsidR="00401BBB" w:rsidRPr="00E64A72">
        <w:rPr>
          <w:rFonts w:ascii="Melior" w:hAnsi="Melior"/>
        </w:rPr>
        <w:t xml:space="preserve">e.g., </w:t>
      </w:r>
      <w:r w:rsidR="00F07FE1" w:rsidRPr="00E64A72">
        <w:rPr>
          <w:rFonts w:ascii="Melior" w:hAnsi="Melior"/>
        </w:rPr>
        <w:t>University Health Center</w:t>
      </w:r>
      <w:r w:rsidR="009371E6" w:rsidRPr="00E64A72">
        <w:rPr>
          <w:rFonts w:ascii="Melior" w:hAnsi="Melior"/>
        </w:rPr>
        <w:t xml:space="preserve">, Animal </w:t>
      </w:r>
      <w:r w:rsidR="00332FA2">
        <w:rPr>
          <w:rFonts w:ascii="Melior" w:hAnsi="Melior"/>
        </w:rPr>
        <w:t>Welfare</w:t>
      </w:r>
      <w:r w:rsidR="009371E6" w:rsidRPr="00E64A72">
        <w:rPr>
          <w:rFonts w:ascii="Melior" w:hAnsi="Melior"/>
        </w:rPr>
        <w:t xml:space="preserve"> Services) or individuals </w:t>
      </w:r>
      <w:r w:rsidR="00D350DE" w:rsidRPr="00E64A72">
        <w:rPr>
          <w:rFonts w:ascii="Melior" w:hAnsi="Melior"/>
        </w:rPr>
        <w:t>for consultation on related biosafety activities.</w:t>
      </w:r>
    </w:p>
    <w:p w14:paraId="748B566C" w14:textId="5C2AA75C" w:rsidR="009371E6" w:rsidRPr="00E64A72" w:rsidRDefault="009371E6" w:rsidP="00E702DD">
      <w:pPr>
        <w:spacing w:after="120"/>
        <w:ind w:left="720"/>
        <w:rPr>
          <w:rFonts w:ascii="Melior" w:hAnsi="Melior"/>
        </w:rPr>
      </w:pPr>
      <w:r w:rsidRPr="00E64A72">
        <w:rPr>
          <w:rFonts w:ascii="Melior" w:hAnsi="Melior"/>
        </w:rPr>
        <w:t>The UO IBC has responsibility for research</w:t>
      </w:r>
      <w:r w:rsidR="008F51B2" w:rsidRPr="00E64A72">
        <w:rPr>
          <w:rFonts w:ascii="Melior" w:hAnsi="Melior"/>
        </w:rPr>
        <w:t xml:space="preserve"> the University sponsors or participates in</w:t>
      </w:r>
      <w:r w:rsidRPr="00E64A72">
        <w:rPr>
          <w:rFonts w:ascii="Melior" w:hAnsi="Melior"/>
        </w:rPr>
        <w:t xml:space="preserve"> throughout the entire University enterprise</w:t>
      </w:r>
      <w:r w:rsidR="00630913" w:rsidRPr="00E64A72">
        <w:rPr>
          <w:rFonts w:ascii="Melior" w:hAnsi="Melior"/>
        </w:rPr>
        <w:t xml:space="preserve">. </w:t>
      </w:r>
      <w:r w:rsidRPr="00E64A72">
        <w:rPr>
          <w:rFonts w:ascii="Melior" w:hAnsi="Melior"/>
        </w:rPr>
        <w:t>IBC</w:t>
      </w:r>
      <w:r w:rsidR="00BF0143">
        <w:rPr>
          <w:rFonts w:ascii="Melior" w:hAnsi="Melior"/>
        </w:rPr>
        <w:t xml:space="preserve"> members are appointed by the U</w:t>
      </w:r>
      <w:r w:rsidRPr="00E64A72">
        <w:rPr>
          <w:rFonts w:ascii="Melior" w:hAnsi="Melior"/>
        </w:rPr>
        <w:t xml:space="preserve">O </w:t>
      </w:r>
      <w:r w:rsidR="0009506B" w:rsidRPr="00E64A72">
        <w:rPr>
          <w:rFonts w:ascii="Melior" w:hAnsi="Melior"/>
        </w:rPr>
        <w:t xml:space="preserve">Vice </w:t>
      </w:r>
      <w:r w:rsidRPr="00E64A72">
        <w:rPr>
          <w:rFonts w:ascii="Melior" w:hAnsi="Melior"/>
        </w:rPr>
        <w:t>President</w:t>
      </w:r>
      <w:r w:rsidR="0009506B" w:rsidRPr="00E64A72">
        <w:rPr>
          <w:rFonts w:ascii="Melior" w:hAnsi="Melior"/>
        </w:rPr>
        <w:t xml:space="preserve"> for Research</w:t>
      </w:r>
      <w:r w:rsidR="00925FFE">
        <w:rPr>
          <w:rFonts w:ascii="Melior" w:hAnsi="Melior"/>
        </w:rPr>
        <w:t xml:space="preserve"> and Innovation</w:t>
      </w:r>
      <w:r w:rsidR="00630913" w:rsidRPr="00E64A72">
        <w:rPr>
          <w:rFonts w:ascii="Melior" w:hAnsi="Melior"/>
        </w:rPr>
        <w:t xml:space="preserve">. </w:t>
      </w:r>
      <w:r w:rsidR="00796776">
        <w:rPr>
          <w:rFonts w:ascii="Melior" w:hAnsi="Melior"/>
        </w:rPr>
        <w:t>The EHS</w:t>
      </w:r>
      <w:r w:rsidRPr="00E64A72">
        <w:rPr>
          <w:rFonts w:ascii="Melior" w:hAnsi="Melior"/>
        </w:rPr>
        <w:t xml:space="preserve"> </w:t>
      </w:r>
      <w:r w:rsidR="00FC38ED">
        <w:rPr>
          <w:rFonts w:ascii="Melior" w:hAnsi="Melior"/>
        </w:rPr>
        <w:t>Research</w:t>
      </w:r>
      <w:r w:rsidR="00FC38ED" w:rsidRPr="00E64A72">
        <w:rPr>
          <w:rFonts w:ascii="Melior" w:hAnsi="Melior"/>
        </w:rPr>
        <w:t xml:space="preserve"> </w:t>
      </w:r>
      <w:r w:rsidR="008A59EA" w:rsidRPr="00E64A72">
        <w:rPr>
          <w:rFonts w:ascii="Melior" w:hAnsi="Melior"/>
        </w:rPr>
        <w:t>Safety Office</w:t>
      </w:r>
      <w:r w:rsidRPr="00E64A72">
        <w:rPr>
          <w:rFonts w:ascii="Melior" w:hAnsi="Melior"/>
        </w:rPr>
        <w:t xml:space="preserve"> staff will support the IBC in carrying out its </w:t>
      </w:r>
      <w:r w:rsidR="00D336C0" w:rsidRPr="00E64A72">
        <w:rPr>
          <w:rFonts w:ascii="Melior" w:hAnsi="Melior"/>
        </w:rPr>
        <w:t>charge</w:t>
      </w:r>
      <w:r w:rsidRPr="00E64A72">
        <w:rPr>
          <w:rFonts w:ascii="Melior" w:hAnsi="Melior"/>
        </w:rPr>
        <w:t>. The IBC is authorized to inspect research facilities, approve research practices and procedures, and to take actions, including cessation of laboratory or research activities, in the event of an unsafe workplace situation</w:t>
      </w:r>
      <w:r w:rsidR="00630913" w:rsidRPr="00E64A72">
        <w:rPr>
          <w:rFonts w:ascii="Melior" w:hAnsi="Melior"/>
        </w:rPr>
        <w:t>.</w:t>
      </w:r>
    </w:p>
    <w:p w14:paraId="52236431" w14:textId="77777777" w:rsidR="0037153D" w:rsidRPr="0054727D" w:rsidRDefault="0037153D" w:rsidP="0068465A">
      <w:pPr>
        <w:pStyle w:val="Heading2"/>
      </w:pPr>
      <w:r w:rsidRPr="0054727D">
        <w:t>General Policy for IBC Oversight</w:t>
      </w:r>
    </w:p>
    <w:p w14:paraId="24F5CE20" w14:textId="7D377032" w:rsidR="00837ECE" w:rsidRPr="00E64A72" w:rsidRDefault="0037153D" w:rsidP="0054727D">
      <w:pPr>
        <w:spacing w:after="120"/>
        <w:ind w:left="720"/>
        <w:rPr>
          <w:rFonts w:ascii="Melior" w:hAnsi="Melior"/>
        </w:rPr>
      </w:pPr>
      <w:r w:rsidRPr="00E64A72">
        <w:rPr>
          <w:rFonts w:ascii="Melior" w:hAnsi="Melior"/>
          <w:b/>
          <w:i/>
        </w:rPr>
        <w:t>All</w:t>
      </w:r>
      <w:r w:rsidRPr="00E64A72">
        <w:rPr>
          <w:rFonts w:ascii="Melior" w:hAnsi="Melior"/>
        </w:rPr>
        <w:t xml:space="preserve"> work involving</w:t>
      </w:r>
      <w:r w:rsidR="00F07FE1" w:rsidRPr="00E64A72">
        <w:rPr>
          <w:rFonts w:ascii="Melior" w:hAnsi="Melior"/>
        </w:rPr>
        <w:t xml:space="preserve"> recombinant or synthetic nucleic acid molecules (</w:t>
      </w:r>
      <w:proofErr w:type="spellStart"/>
      <w:r w:rsidRPr="00E64A72">
        <w:rPr>
          <w:rFonts w:ascii="Melior" w:hAnsi="Melior"/>
        </w:rPr>
        <w:t>rsNA</w:t>
      </w:r>
      <w:proofErr w:type="spellEnd"/>
      <w:r w:rsidR="00F07FE1" w:rsidRPr="00E64A72">
        <w:rPr>
          <w:rFonts w:ascii="Melior" w:hAnsi="Melior"/>
        </w:rPr>
        <w:t>)</w:t>
      </w:r>
      <w:r w:rsidRPr="00E64A72">
        <w:rPr>
          <w:rFonts w:ascii="Melior" w:hAnsi="Melior"/>
        </w:rPr>
        <w:t xml:space="preserve"> must be registere</w:t>
      </w:r>
      <w:r w:rsidR="002E4703" w:rsidRPr="00E64A72">
        <w:rPr>
          <w:rFonts w:ascii="Melior" w:hAnsi="Melior"/>
        </w:rPr>
        <w:t xml:space="preserve">d with the </w:t>
      </w:r>
      <w:r w:rsidR="000937DD" w:rsidRPr="00E64A72">
        <w:rPr>
          <w:rFonts w:ascii="Melior" w:hAnsi="Melior"/>
        </w:rPr>
        <w:t>IBC</w:t>
      </w:r>
      <w:r w:rsidR="00630913" w:rsidRPr="00E64A72">
        <w:rPr>
          <w:rFonts w:ascii="Melior" w:hAnsi="Melior"/>
        </w:rPr>
        <w:t xml:space="preserve">. </w:t>
      </w:r>
      <w:r w:rsidR="00837ECE" w:rsidRPr="00E64A72">
        <w:rPr>
          <w:rFonts w:ascii="Melior" w:hAnsi="Melior"/>
        </w:rPr>
        <w:t>Experiments categorized in Section III-A</w:t>
      </w:r>
      <w:r w:rsidR="005C778B">
        <w:rPr>
          <w:rFonts w:ascii="Melior" w:hAnsi="Melior"/>
        </w:rPr>
        <w:t xml:space="preserve"> require NIH Director Approval and IBC Approval prior to initiation of work</w:t>
      </w:r>
      <w:r w:rsidR="00837ECE" w:rsidRPr="00E64A72">
        <w:rPr>
          <w:rFonts w:ascii="Melior" w:hAnsi="Melior"/>
        </w:rPr>
        <w:t xml:space="preserve">, </w:t>
      </w:r>
      <w:r w:rsidR="005C778B">
        <w:rPr>
          <w:rFonts w:ascii="Melior" w:hAnsi="Melior"/>
        </w:rPr>
        <w:t xml:space="preserve">experiments categorized in Section </w:t>
      </w:r>
      <w:r w:rsidR="00837ECE" w:rsidRPr="00E64A72">
        <w:rPr>
          <w:rFonts w:ascii="Melior" w:hAnsi="Melior"/>
        </w:rPr>
        <w:t>III-B</w:t>
      </w:r>
      <w:r w:rsidR="005C778B">
        <w:rPr>
          <w:rFonts w:ascii="Melior" w:hAnsi="Melior"/>
        </w:rPr>
        <w:t xml:space="preserve"> require NIH Office of Science Policy (OSP) and IBC Approval prior to initiation of work</w:t>
      </w:r>
      <w:r w:rsidR="00837ECE" w:rsidRPr="00E64A72">
        <w:rPr>
          <w:rFonts w:ascii="Melior" w:hAnsi="Melior"/>
        </w:rPr>
        <w:t xml:space="preserve">, </w:t>
      </w:r>
      <w:r w:rsidR="005C778B">
        <w:rPr>
          <w:rFonts w:ascii="Melior" w:hAnsi="Melior"/>
        </w:rPr>
        <w:t xml:space="preserve">and experiments categorized in Sections </w:t>
      </w:r>
      <w:r w:rsidR="00837ECE" w:rsidRPr="00E64A72">
        <w:rPr>
          <w:rFonts w:ascii="Melior" w:hAnsi="Melior"/>
        </w:rPr>
        <w:t>III-C</w:t>
      </w:r>
      <w:r w:rsidR="005C778B">
        <w:rPr>
          <w:rFonts w:ascii="Melior" w:hAnsi="Melior"/>
        </w:rPr>
        <w:t xml:space="preserve"> or III-D</w:t>
      </w:r>
      <w:r w:rsidR="00837ECE" w:rsidRPr="00E64A72">
        <w:rPr>
          <w:rFonts w:ascii="Melior" w:hAnsi="Melior"/>
        </w:rPr>
        <w:t xml:space="preserve"> must be approved by the IBC prior to initiating work.</w:t>
      </w:r>
    </w:p>
    <w:p w14:paraId="2C92486A" w14:textId="31AB3E86" w:rsidR="0037153D" w:rsidRPr="0092631C" w:rsidRDefault="00F07FE1" w:rsidP="00E702DD">
      <w:pPr>
        <w:spacing w:after="120"/>
        <w:ind w:left="720"/>
        <w:rPr>
          <w:rFonts w:ascii="Melior" w:hAnsi="Melior"/>
        </w:rPr>
      </w:pPr>
      <w:r w:rsidRPr="0092631C">
        <w:rPr>
          <w:rFonts w:ascii="Melior" w:hAnsi="Melior"/>
        </w:rPr>
        <w:lastRenderedPageBreak/>
        <w:t>T</w:t>
      </w:r>
      <w:r w:rsidR="0037153D" w:rsidRPr="0092631C">
        <w:rPr>
          <w:rFonts w:ascii="Melior" w:hAnsi="Melior"/>
        </w:rPr>
        <w:t>he following types of experiments must be reviewed and approved by the IBC prior to initiation of work:</w:t>
      </w:r>
    </w:p>
    <w:p w14:paraId="237D162F" w14:textId="7BB67AE3" w:rsidR="00F07FE1" w:rsidRPr="0092631C" w:rsidRDefault="00F07FE1" w:rsidP="0068465A">
      <w:pPr>
        <w:pStyle w:val="ListParagraph"/>
        <w:numPr>
          <w:ilvl w:val="0"/>
          <w:numId w:val="17"/>
        </w:numPr>
        <w:spacing w:after="60"/>
        <w:ind w:left="1440"/>
        <w:rPr>
          <w:rFonts w:ascii="Melior" w:hAnsi="Melior"/>
        </w:rPr>
      </w:pPr>
      <w:r w:rsidRPr="0092631C">
        <w:rPr>
          <w:rFonts w:ascii="Melior" w:hAnsi="Melior"/>
        </w:rPr>
        <w:t>Experiments categorized in Sections III-D and III-E</w:t>
      </w:r>
    </w:p>
    <w:p w14:paraId="226D2BE7" w14:textId="77777777" w:rsidR="008C49C2" w:rsidRPr="0092631C" w:rsidRDefault="008C49C2" w:rsidP="00E702DD">
      <w:pPr>
        <w:pStyle w:val="ListParagraph"/>
        <w:numPr>
          <w:ilvl w:val="0"/>
          <w:numId w:val="17"/>
        </w:numPr>
        <w:spacing w:after="60"/>
        <w:ind w:left="1440"/>
        <w:rPr>
          <w:rFonts w:ascii="Melior" w:hAnsi="Melior"/>
        </w:rPr>
      </w:pPr>
      <w:r w:rsidRPr="0092631C">
        <w:rPr>
          <w:rFonts w:ascii="Melior" w:hAnsi="Melior"/>
        </w:rPr>
        <w:t>Pathogens designated Risk Groups 2 and higher</w:t>
      </w:r>
    </w:p>
    <w:p w14:paraId="5139FDF4" w14:textId="77777777" w:rsidR="008C49C2" w:rsidRPr="0092631C" w:rsidRDefault="008C49C2" w:rsidP="00BF0143">
      <w:pPr>
        <w:pStyle w:val="ListParagraph"/>
        <w:numPr>
          <w:ilvl w:val="0"/>
          <w:numId w:val="17"/>
        </w:numPr>
        <w:spacing w:after="60"/>
        <w:ind w:left="1440"/>
        <w:rPr>
          <w:rFonts w:ascii="Melior" w:hAnsi="Melior"/>
        </w:rPr>
      </w:pPr>
      <w:r w:rsidRPr="0092631C">
        <w:rPr>
          <w:rFonts w:ascii="Melior" w:hAnsi="Melior"/>
        </w:rPr>
        <w:t>Materials derived from non-human primates (e.g., tissue, cell culture, samples)</w:t>
      </w:r>
    </w:p>
    <w:p w14:paraId="38D06CF5" w14:textId="3CA33684" w:rsidR="008C49C2" w:rsidRPr="0092631C" w:rsidRDefault="008C49C2" w:rsidP="00E702DD">
      <w:pPr>
        <w:pStyle w:val="ListParagraph"/>
        <w:numPr>
          <w:ilvl w:val="0"/>
          <w:numId w:val="17"/>
        </w:numPr>
        <w:spacing w:after="60"/>
        <w:ind w:left="1440"/>
        <w:rPr>
          <w:rFonts w:ascii="Melior" w:hAnsi="Melior"/>
        </w:rPr>
      </w:pPr>
      <w:r w:rsidRPr="0092631C">
        <w:rPr>
          <w:rFonts w:ascii="Melior" w:hAnsi="Melior"/>
        </w:rPr>
        <w:t xml:space="preserve">Biological Select Agents and Toxins, as listed in the </w:t>
      </w:r>
      <w:hyperlink r:id="rId11" w:history="1">
        <w:r w:rsidRPr="0092631C">
          <w:rPr>
            <w:rStyle w:val="Hyperlink"/>
            <w:rFonts w:ascii="Melior" w:hAnsi="Melior"/>
          </w:rPr>
          <w:t>Select Agents and Toxins List</w:t>
        </w:r>
      </w:hyperlink>
      <w:r w:rsidRPr="0092631C">
        <w:rPr>
          <w:rFonts w:ascii="Melior" w:hAnsi="Melior"/>
        </w:rPr>
        <w:t xml:space="preserve"> </w:t>
      </w:r>
      <w:r w:rsidR="00204359" w:rsidRPr="0092631C">
        <w:rPr>
          <w:rFonts w:ascii="Melior" w:hAnsi="Melior"/>
        </w:rPr>
        <w:t xml:space="preserve"> (PI must be registered with the CDC and/or USDA, as well as receive approval from the IBC)</w:t>
      </w:r>
    </w:p>
    <w:p w14:paraId="2EF0BB63" w14:textId="77777777" w:rsidR="008C49C2" w:rsidRPr="0092631C" w:rsidRDefault="008C49C2" w:rsidP="00BF0143">
      <w:pPr>
        <w:pStyle w:val="ListParagraph"/>
        <w:numPr>
          <w:ilvl w:val="0"/>
          <w:numId w:val="17"/>
        </w:numPr>
        <w:spacing w:after="120"/>
        <w:ind w:left="1440"/>
        <w:rPr>
          <w:rFonts w:ascii="Melior" w:hAnsi="Melior"/>
        </w:rPr>
      </w:pPr>
      <w:r w:rsidRPr="0092631C">
        <w:rPr>
          <w:rFonts w:ascii="Melior" w:hAnsi="Melior"/>
        </w:rPr>
        <w:t>Dual Use Research of Concern - The IBC will review research identified as having dual use potential by the PI and verify the finding. With input from the PI, the IBC will conduct a risk-benefit analysis, and develop a risk mitigation plan. The IBC will notify the PI, and NIH when required, of the results of the review process.</w:t>
      </w:r>
    </w:p>
    <w:p w14:paraId="73704094" w14:textId="092912E2" w:rsidR="0037153D" w:rsidRPr="0092631C" w:rsidRDefault="0037153D" w:rsidP="00E702DD">
      <w:pPr>
        <w:spacing w:after="120"/>
        <w:ind w:left="720"/>
        <w:rPr>
          <w:rFonts w:ascii="Melior" w:hAnsi="Melior"/>
        </w:rPr>
      </w:pPr>
      <w:r w:rsidRPr="0092631C">
        <w:rPr>
          <w:rFonts w:ascii="Melior" w:hAnsi="Melior"/>
        </w:rPr>
        <w:t>The following experiments are</w:t>
      </w:r>
      <w:r w:rsidR="00204359" w:rsidRPr="0092631C">
        <w:rPr>
          <w:rFonts w:ascii="Melior" w:hAnsi="Melior"/>
        </w:rPr>
        <w:t xml:space="preserve"> exempt</w:t>
      </w:r>
      <w:r w:rsidRPr="0092631C">
        <w:rPr>
          <w:rFonts w:ascii="Melior" w:hAnsi="Melior"/>
        </w:rPr>
        <w:t xml:space="preserve"> from the </w:t>
      </w:r>
      <w:r w:rsidRPr="0092631C">
        <w:rPr>
          <w:rFonts w:ascii="Melior" w:hAnsi="Melior"/>
          <w:i/>
        </w:rPr>
        <w:t>NIH Guidelines</w:t>
      </w:r>
      <w:r w:rsidRPr="0092631C">
        <w:rPr>
          <w:rFonts w:ascii="Melior" w:hAnsi="Melior"/>
        </w:rPr>
        <w:t xml:space="preserve">, </w:t>
      </w:r>
      <w:r w:rsidR="0009506B" w:rsidRPr="0092631C">
        <w:rPr>
          <w:rFonts w:ascii="Melior" w:hAnsi="Melior"/>
        </w:rPr>
        <w:t>but</w:t>
      </w:r>
      <w:r w:rsidRPr="0092631C">
        <w:rPr>
          <w:rFonts w:ascii="Melior" w:hAnsi="Melior"/>
        </w:rPr>
        <w:t xml:space="preserve"> </w:t>
      </w:r>
      <w:r w:rsidR="00B4460E" w:rsidRPr="0092631C">
        <w:rPr>
          <w:rFonts w:ascii="Melior" w:hAnsi="Melior"/>
        </w:rPr>
        <w:t xml:space="preserve">still </w:t>
      </w:r>
      <w:r w:rsidRPr="0092631C">
        <w:rPr>
          <w:rFonts w:ascii="Melior" w:hAnsi="Melior"/>
        </w:rPr>
        <w:t>require registr</w:t>
      </w:r>
      <w:r w:rsidR="0009506B" w:rsidRPr="0092631C">
        <w:rPr>
          <w:rFonts w:ascii="Melior" w:hAnsi="Melior"/>
        </w:rPr>
        <w:t xml:space="preserve">ation with the </w:t>
      </w:r>
      <w:r w:rsidR="008F45B5" w:rsidRPr="0092631C">
        <w:rPr>
          <w:rFonts w:ascii="Melior" w:hAnsi="Melior"/>
        </w:rPr>
        <w:t>IBC</w:t>
      </w:r>
      <w:r w:rsidRPr="0092631C">
        <w:rPr>
          <w:rFonts w:ascii="Melior" w:hAnsi="Melior"/>
        </w:rPr>
        <w:t>:</w:t>
      </w:r>
    </w:p>
    <w:p w14:paraId="2440C8A5" w14:textId="35220563" w:rsidR="00B4460E" w:rsidRPr="0092631C" w:rsidRDefault="00B4460E" w:rsidP="00E702DD">
      <w:pPr>
        <w:pStyle w:val="ListParagraph"/>
        <w:numPr>
          <w:ilvl w:val="0"/>
          <w:numId w:val="32"/>
        </w:numPr>
        <w:spacing w:after="60"/>
        <w:ind w:left="1440"/>
        <w:rPr>
          <w:rFonts w:ascii="Melior" w:hAnsi="Melior"/>
        </w:rPr>
      </w:pPr>
      <w:r w:rsidRPr="0092631C">
        <w:rPr>
          <w:rFonts w:ascii="Melior" w:hAnsi="Melior"/>
        </w:rPr>
        <w:t>Experiments categorized in Section III-F</w:t>
      </w:r>
      <w:r w:rsidR="005C778B">
        <w:rPr>
          <w:rFonts w:ascii="Melior" w:hAnsi="Melior"/>
        </w:rPr>
        <w:t xml:space="preserve"> (exempt under NIH Guidelines but </w:t>
      </w:r>
      <w:r w:rsidR="00FC38ED">
        <w:rPr>
          <w:rFonts w:ascii="Melior" w:hAnsi="Melior"/>
        </w:rPr>
        <w:t xml:space="preserve">UO IBC </w:t>
      </w:r>
      <w:r w:rsidR="005C778B">
        <w:rPr>
          <w:rFonts w:ascii="Melior" w:hAnsi="Melior"/>
        </w:rPr>
        <w:t>registration still required)</w:t>
      </w:r>
    </w:p>
    <w:p w14:paraId="59C35C85" w14:textId="07BA2F91" w:rsidR="00D350DE" w:rsidRPr="0092631C" w:rsidRDefault="0037153D" w:rsidP="00E702DD">
      <w:pPr>
        <w:pStyle w:val="ListParagraph"/>
        <w:numPr>
          <w:ilvl w:val="0"/>
          <w:numId w:val="32"/>
        </w:numPr>
        <w:spacing w:after="60"/>
        <w:ind w:left="1440"/>
        <w:rPr>
          <w:rFonts w:ascii="Melior" w:hAnsi="Melior"/>
        </w:rPr>
      </w:pPr>
      <w:r w:rsidRPr="0092631C">
        <w:rPr>
          <w:rFonts w:ascii="Melior" w:hAnsi="Melior"/>
        </w:rPr>
        <w:t>Possession or use of Select Agent Toxins in quantities below the permissible toxin amounts</w:t>
      </w:r>
    </w:p>
    <w:p w14:paraId="36C12E03" w14:textId="611E3D22" w:rsidR="00D350DE" w:rsidRPr="0092631C" w:rsidRDefault="003A35DE" w:rsidP="00E702DD">
      <w:pPr>
        <w:pStyle w:val="ListParagraph"/>
        <w:numPr>
          <w:ilvl w:val="0"/>
          <w:numId w:val="32"/>
        </w:numPr>
        <w:spacing w:after="60"/>
        <w:ind w:left="1440"/>
        <w:rPr>
          <w:rFonts w:ascii="Melior" w:hAnsi="Melior"/>
        </w:rPr>
      </w:pPr>
      <w:bookmarkStart w:id="1" w:name="_Hlk129604930"/>
      <w:r w:rsidRPr="0092631C">
        <w:rPr>
          <w:rFonts w:ascii="Melior" w:hAnsi="Melior"/>
        </w:rPr>
        <w:t>Non-recombinant w</w:t>
      </w:r>
      <w:r w:rsidR="00D350DE" w:rsidRPr="0092631C">
        <w:rPr>
          <w:rFonts w:ascii="Melior" w:hAnsi="Melior"/>
        </w:rPr>
        <w:t>ork involving human cell culture or manipula</w:t>
      </w:r>
      <w:r w:rsidR="000B7E32" w:rsidRPr="0092631C">
        <w:rPr>
          <w:rFonts w:ascii="Melior" w:hAnsi="Melior"/>
        </w:rPr>
        <w:t>tion of human-derived materials</w:t>
      </w:r>
    </w:p>
    <w:bookmarkEnd w:id="1"/>
    <w:p w14:paraId="56521D3F" w14:textId="6C2FA44A" w:rsidR="00D30807" w:rsidRPr="00E64A72" w:rsidRDefault="0054727D" w:rsidP="0054727D">
      <w:pPr>
        <w:pStyle w:val="Heading1"/>
        <w:rPr>
          <w:u w:val="none"/>
        </w:rPr>
      </w:pPr>
      <w:r>
        <w:t xml:space="preserve">IBC </w:t>
      </w:r>
      <w:r w:rsidR="00D30807" w:rsidRPr="00E64A72">
        <w:t>Membership</w:t>
      </w:r>
    </w:p>
    <w:p w14:paraId="2738CFC2" w14:textId="0E80EB2E" w:rsidR="00D30807" w:rsidRPr="00E64A72" w:rsidRDefault="00D30807" w:rsidP="0054727D">
      <w:pPr>
        <w:pStyle w:val="firstlevel"/>
        <w:numPr>
          <w:ilvl w:val="0"/>
          <w:numId w:val="10"/>
        </w:numPr>
        <w:ind w:left="1080"/>
        <w:rPr>
          <w:rFonts w:ascii="Melior" w:hAnsi="Melior"/>
        </w:rPr>
      </w:pPr>
      <w:r w:rsidRPr="00E64A72">
        <w:rPr>
          <w:rFonts w:ascii="Melior" w:hAnsi="Melior"/>
        </w:rPr>
        <w:t>The Committee shall consist of no less than five members. The membership shall include, but is not limited to:</w:t>
      </w:r>
    </w:p>
    <w:p w14:paraId="4986FF19" w14:textId="02CAF910" w:rsidR="00D30807" w:rsidRPr="00E64A72" w:rsidRDefault="00D30807" w:rsidP="0054727D">
      <w:pPr>
        <w:pStyle w:val="firstlevel"/>
        <w:numPr>
          <w:ilvl w:val="0"/>
          <w:numId w:val="12"/>
        </w:numPr>
        <w:ind w:left="1440"/>
        <w:rPr>
          <w:rFonts w:ascii="Melior" w:hAnsi="Melior"/>
        </w:rPr>
      </w:pPr>
      <w:r w:rsidRPr="00E64A72">
        <w:rPr>
          <w:rFonts w:ascii="Melior" w:hAnsi="Melior"/>
        </w:rPr>
        <w:t>Th</w:t>
      </w:r>
      <w:r w:rsidR="00793638" w:rsidRPr="00E64A72">
        <w:rPr>
          <w:rFonts w:ascii="Melior" w:hAnsi="Melior"/>
        </w:rPr>
        <w:t xml:space="preserve">e </w:t>
      </w:r>
      <w:r w:rsidR="009B003F" w:rsidRPr="00E64A72">
        <w:rPr>
          <w:rFonts w:ascii="Melior" w:hAnsi="Melior"/>
        </w:rPr>
        <w:t xml:space="preserve">UO </w:t>
      </w:r>
      <w:r w:rsidR="00793638" w:rsidRPr="00E64A72">
        <w:rPr>
          <w:rFonts w:ascii="Melior" w:hAnsi="Melior"/>
        </w:rPr>
        <w:t>Biosafety Officer</w:t>
      </w:r>
      <w:r w:rsidR="009B003F" w:rsidRPr="00E64A72">
        <w:rPr>
          <w:rFonts w:ascii="Melior" w:hAnsi="Melior"/>
        </w:rPr>
        <w:t xml:space="preserve"> (BSO)</w:t>
      </w:r>
    </w:p>
    <w:p w14:paraId="5AF52FB5" w14:textId="3FC19AE0" w:rsidR="00D30807" w:rsidRPr="00E64A72" w:rsidRDefault="00D30807" w:rsidP="0054727D">
      <w:pPr>
        <w:pStyle w:val="firstlevel"/>
        <w:numPr>
          <w:ilvl w:val="0"/>
          <w:numId w:val="12"/>
        </w:numPr>
        <w:ind w:left="1440"/>
        <w:rPr>
          <w:rFonts w:ascii="Melior" w:hAnsi="Melior"/>
        </w:rPr>
      </w:pPr>
      <w:r w:rsidRPr="00E64A72">
        <w:rPr>
          <w:rFonts w:ascii="Melior" w:hAnsi="Melior"/>
        </w:rPr>
        <w:t xml:space="preserve">Two members who are not affiliated with the </w:t>
      </w:r>
      <w:r w:rsidR="009B003F" w:rsidRPr="00E64A72">
        <w:rPr>
          <w:rFonts w:ascii="Melior" w:hAnsi="Melior"/>
        </w:rPr>
        <w:t>UO</w:t>
      </w:r>
    </w:p>
    <w:p w14:paraId="0B34137D" w14:textId="77777777" w:rsidR="00D30807" w:rsidRPr="00E64A72" w:rsidRDefault="00D30807" w:rsidP="0054727D">
      <w:pPr>
        <w:pStyle w:val="firstlevel"/>
        <w:numPr>
          <w:ilvl w:val="0"/>
          <w:numId w:val="12"/>
        </w:numPr>
        <w:ind w:left="1440"/>
        <w:rPr>
          <w:rFonts w:ascii="Melior" w:hAnsi="Melior"/>
        </w:rPr>
      </w:pPr>
      <w:r w:rsidRPr="00E64A72">
        <w:rPr>
          <w:rFonts w:ascii="Melior" w:hAnsi="Melior"/>
        </w:rPr>
        <w:t>At least one representative with expertise in animal containment principles</w:t>
      </w:r>
    </w:p>
    <w:p w14:paraId="67DC68FE" w14:textId="696CEC6B" w:rsidR="00D30807" w:rsidRPr="00E64A72" w:rsidRDefault="00D30807" w:rsidP="0054727D">
      <w:pPr>
        <w:pStyle w:val="firstlevel"/>
        <w:numPr>
          <w:ilvl w:val="0"/>
          <w:numId w:val="12"/>
        </w:numPr>
        <w:ind w:left="1440"/>
        <w:rPr>
          <w:rFonts w:ascii="Melior" w:hAnsi="Melior"/>
        </w:rPr>
      </w:pPr>
      <w:r w:rsidRPr="00E64A72">
        <w:rPr>
          <w:rFonts w:ascii="Melior" w:hAnsi="Melior"/>
        </w:rPr>
        <w:t>One individual with expertise in plant, plant pathogen, or pl</w:t>
      </w:r>
      <w:r w:rsidR="000B7E32" w:rsidRPr="00E64A72">
        <w:rPr>
          <w:rFonts w:ascii="Melior" w:hAnsi="Melior"/>
        </w:rPr>
        <w:t>ant pest containment principles</w:t>
      </w:r>
      <w:r w:rsidR="00E8435C">
        <w:rPr>
          <w:rFonts w:ascii="Melior" w:hAnsi="Melior"/>
        </w:rPr>
        <w:t xml:space="preserve"> when experiments utilizing Appendix P require prior approval by the IBC</w:t>
      </w:r>
      <w:r w:rsidR="008E34C2">
        <w:rPr>
          <w:rFonts w:ascii="Melior" w:hAnsi="Melior"/>
        </w:rPr>
        <w:t>.</w:t>
      </w:r>
    </w:p>
    <w:p w14:paraId="0DB4B629" w14:textId="422E3119" w:rsidR="00D30807" w:rsidRPr="00E64A72" w:rsidRDefault="00D30807" w:rsidP="0054727D">
      <w:pPr>
        <w:pStyle w:val="firstlevel"/>
        <w:numPr>
          <w:ilvl w:val="0"/>
          <w:numId w:val="10"/>
        </w:numPr>
        <w:ind w:left="1080"/>
        <w:rPr>
          <w:rFonts w:ascii="Melior" w:hAnsi="Melior"/>
        </w:rPr>
      </w:pPr>
      <w:r w:rsidRPr="00E64A72">
        <w:rPr>
          <w:rFonts w:ascii="Melior" w:hAnsi="Melior"/>
        </w:rPr>
        <w:t>All members are appointed by the Vice</w:t>
      </w:r>
      <w:r w:rsidR="00630913" w:rsidRPr="00E64A72">
        <w:rPr>
          <w:rFonts w:ascii="Melior" w:hAnsi="Melior"/>
        </w:rPr>
        <w:t xml:space="preserve"> </w:t>
      </w:r>
      <w:r w:rsidRPr="00E64A72">
        <w:rPr>
          <w:rFonts w:ascii="Melior" w:hAnsi="Melior"/>
        </w:rPr>
        <w:t xml:space="preserve">President for Research and </w:t>
      </w:r>
      <w:r w:rsidR="00630913" w:rsidRPr="00E64A72">
        <w:rPr>
          <w:rFonts w:ascii="Melior" w:hAnsi="Melior"/>
        </w:rPr>
        <w:t>Innovation</w:t>
      </w:r>
      <w:r w:rsidRPr="00E64A72">
        <w:rPr>
          <w:rFonts w:ascii="Melior" w:hAnsi="Melior"/>
        </w:rPr>
        <w:t xml:space="preserve"> for a three</w:t>
      </w:r>
      <w:r w:rsidR="00B41DAC" w:rsidRPr="00E64A72">
        <w:rPr>
          <w:rFonts w:ascii="Melior" w:hAnsi="Melior"/>
        </w:rPr>
        <w:t>-year term, which is renewable.</w:t>
      </w:r>
      <w:r w:rsidR="00382FC9" w:rsidRPr="00E64A72">
        <w:rPr>
          <w:rFonts w:ascii="Melior" w:hAnsi="Melior"/>
        </w:rPr>
        <w:t xml:space="preserve"> </w:t>
      </w:r>
      <w:r w:rsidRPr="00E64A72">
        <w:rPr>
          <w:rFonts w:ascii="Melior" w:hAnsi="Melior"/>
        </w:rPr>
        <w:t>The IBC Chair is appointed by the Vice</w:t>
      </w:r>
      <w:r w:rsidR="0092631C">
        <w:rPr>
          <w:rFonts w:ascii="Melior" w:hAnsi="Melior"/>
        </w:rPr>
        <w:t xml:space="preserve"> </w:t>
      </w:r>
      <w:r w:rsidRPr="00E64A72">
        <w:rPr>
          <w:rFonts w:ascii="Melior" w:hAnsi="Melior"/>
        </w:rPr>
        <w:t xml:space="preserve">President for Research and </w:t>
      </w:r>
      <w:r w:rsidR="00630913" w:rsidRPr="00E64A72">
        <w:rPr>
          <w:rFonts w:ascii="Melior" w:hAnsi="Melior"/>
        </w:rPr>
        <w:t>Innovation</w:t>
      </w:r>
      <w:r w:rsidRPr="00E64A72">
        <w:rPr>
          <w:rFonts w:ascii="Melior" w:hAnsi="Melior"/>
        </w:rPr>
        <w:t>.</w:t>
      </w:r>
    </w:p>
    <w:p w14:paraId="68BD0D39" w14:textId="015F68D6" w:rsidR="00D30807" w:rsidRPr="008E34C2" w:rsidRDefault="00D30807" w:rsidP="0054727D">
      <w:pPr>
        <w:pStyle w:val="firstlevel"/>
        <w:numPr>
          <w:ilvl w:val="0"/>
          <w:numId w:val="10"/>
        </w:numPr>
        <w:ind w:left="1080"/>
        <w:rPr>
          <w:rFonts w:ascii="Melior" w:hAnsi="Melior"/>
        </w:rPr>
      </w:pPr>
      <w:r w:rsidRPr="00E64A72">
        <w:rPr>
          <w:rFonts w:ascii="Melior" w:hAnsi="Melior"/>
        </w:rPr>
        <w:t xml:space="preserve">In addition to the abovementioned members, the Committee shall include </w:t>
      </w:r>
      <w:r w:rsidRPr="00E64A72">
        <w:rPr>
          <w:rFonts w:ascii="Melior" w:hAnsi="Melior"/>
          <w:i/>
        </w:rPr>
        <w:t>ad hoc</w:t>
      </w:r>
      <w:r w:rsidRPr="00E64A72">
        <w:rPr>
          <w:rFonts w:ascii="Melior" w:hAnsi="Melior"/>
        </w:rPr>
        <w:t xml:space="preserve"> members</w:t>
      </w:r>
      <w:r w:rsidR="00BB35A3" w:rsidRPr="00E64A72">
        <w:rPr>
          <w:rFonts w:ascii="Melior" w:hAnsi="Melior"/>
        </w:rPr>
        <w:t xml:space="preserve"> </w:t>
      </w:r>
      <w:r w:rsidRPr="00E64A72">
        <w:rPr>
          <w:rFonts w:ascii="Melior" w:hAnsi="Melior"/>
        </w:rPr>
        <w:t xml:space="preserve">who represent the diversity of scientific disciplines using </w:t>
      </w:r>
      <w:proofErr w:type="spellStart"/>
      <w:r w:rsidRPr="008E34C2">
        <w:rPr>
          <w:rFonts w:ascii="Melior" w:hAnsi="Melior"/>
        </w:rPr>
        <w:t>rsNA</w:t>
      </w:r>
      <w:proofErr w:type="spellEnd"/>
      <w:r w:rsidRPr="008E34C2">
        <w:rPr>
          <w:rFonts w:ascii="Melior" w:hAnsi="Melior"/>
        </w:rPr>
        <w:t>, Select Agents and Toxins, or other relevant research conducted at the University.</w:t>
      </w:r>
    </w:p>
    <w:p w14:paraId="37B124BD" w14:textId="57A5A437" w:rsidR="00CA0024" w:rsidRPr="008E34C2" w:rsidRDefault="009B4869" w:rsidP="0054727D">
      <w:pPr>
        <w:pStyle w:val="firstlevel"/>
        <w:numPr>
          <w:ilvl w:val="0"/>
          <w:numId w:val="10"/>
        </w:numPr>
        <w:ind w:left="1080"/>
        <w:rPr>
          <w:rFonts w:ascii="Melior" w:hAnsi="Melior"/>
        </w:rPr>
      </w:pPr>
      <w:r>
        <w:rPr>
          <w:rFonts w:ascii="Melior" w:hAnsi="Melior"/>
        </w:rPr>
        <w:t>R</w:t>
      </w:r>
      <w:r w:rsidR="00CA0024" w:rsidRPr="008E34C2">
        <w:rPr>
          <w:rFonts w:ascii="Melior" w:hAnsi="Melior"/>
        </w:rPr>
        <w:t>egular voting members may recommend an alternate voting member to substitute for them at regularly scheduled meetings</w:t>
      </w:r>
      <w:r w:rsidR="00630913" w:rsidRPr="008E34C2">
        <w:rPr>
          <w:rFonts w:ascii="Melior" w:hAnsi="Melior"/>
        </w:rPr>
        <w:t xml:space="preserve">. </w:t>
      </w:r>
      <w:r w:rsidR="00CA0024" w:rsidRPr="008E34C2">
        <w:rPr>
          <w:rFonts w:ascii="Melior" w:hAnsi="Melior"/>
        </w:rPr>
        <w:t xml:space="preserve">The alternate must be appointed in the same manner </w:t>
      </w:r>
      <w:r w:rsidR="009B003F" w:rsidRPr="008E34C2">
        <w:rPr>
          <w:rFonts w:ascii="Melior" w:hAnsi="Melior"/>
        </w:rPr>
        <w:t>as the</w:t>
      </w:r>
      <w:r w:rsidR="00CA0024" w:rsidRPr="008E34C2">
        <w:rPr>
          <w:rFonts w:ascii="Melior" w:hAnsi="Melior"/>
        </w:rPr>
        <w:t xml:space="preserve"> regular committee member and must have the same area of expertise.</w:t>
      </w:r>
    </w:p>
    <w:p w14:paraId="7490D14C" w14:textId="7ABEABE8" w:rsidR="00D30807" w:rsidRPr="008E34C2" w:rsidRDefault="0054727D" w:rsidP="0054727D">
      <w:pPr>
        <w:pStyle w:val="Heading1"/>
      </w:pPr>
      <w:r w:rsidRPr="008E34C2">
        <w:lastRenderedPageBreak/>
        <w:t xml:space="preserve">IBC </w:t>
      </w:r>
      <w:r w:rsidR="00D30807" w:rsidRPr="008E34C2">
        <w:t>Management</w:t>
      </w:r>
    </w:p>
    <w:p w14:paraId="6EA1856A" w14:textId="38A3ED69" w:rsidR="00AE4CFA" w:rsidRPr="00E64A72" w:rsidRDefault="00BE6AFE" w:rsidP="00E702DD">
      <w:pPr>
        <w:spacing w:after="120"/>
        <w:ind w:left="720"/>
        <w:rPr>
          <w:rFonts w:ascii="Melior" w:hAnsi="Melior"/>
        </w:rPr>
      </w:pPr>
      <w:r w:rsidRPr="00E64A72">
        <w:rPr>
          <w:rFonts w:ascii="Melior" w:hAnsi="Melior"/>
        </w:rPr>
        <w:t xml:space="preserve">The UO </w:t>
      </w:r>
      <w:r w:rsidR="009B003F" w:rsidRPr="00E64A72">
        <w:rPr>
          <w:rFonts w:ascii="Melior" w:hAnsi="Melior"/>
        </w:rPr>
        <w:t>BSO</w:t>
      </w:r>
      <w:r w:rsidRPr="00E64A72">
        <w:rPr>
          <w:rFonts w:ascii="Melior" w:hAnsi="Melior"/>
        </w:rPr>
        <w:t xml:space="preserve"> will be responsible for keeping records, recording minutes, and scheduling meetings for the IBC. This will include preliminary review of submitted </w:t>
      </w:r>
      <w:r w:rsidR="00CD5EDF" w:rsidRPr="00E64A72">
        <w:rPr>
          <w:rFonts w:ascii="Melior" w:hAnsi="Melior"/>
        </w:rPr>
        <w:t xml:space="preserve">registration forms </w:t>
      </w:r>
      <w:r w:rsidRPr="00E64A72">
        <w:rPr>
          <w:rFonts w:ascii="Melior" w:hAnsi="Melior"/>
        </w:rPr>
        <w:t>for completeness of information required for IBC review.</w:t>
      </w:r>
      <w:r w:rsidR="00AE4CFA" w:rsidRPr="00E64A72">
        <w:rPr>
          <w:rFonts w:ascii="Melior" w:hAnsi="Melior"/>
        </w:rPr>
        <w:t xml:space="preserve"> No project requiring IBC approval will commence prior to IBC approval of the </w:t>
      </w:r>
      <w:r w:rsidR="00CD5EDF" w:rsidRPr="00E64A72">
        <w:rPr>
          <w:rFonts w:ascii="Melior" w:hAnsi="Melior"/>
        </w:rPr>
        <w:t>registration</w:t>
      </w:r>
      <w:r w:rsidR="00AE4CFA" w:rsidRPr="00E64A72">
        <w:rPr>
          <w:rFonts w:ascii="Melior" w:hAnsi="Melior"/>
        </w:rPr>
        <w:t>.</w:t>
      </w:r>
    </w:p>
    <w:p w14:paraId="15A799B2" w14:textId="77777777" w:rsidR="00BE6AFE" w:rsidRPr="00E64A72" w:rsidRDefault="00BE6AFE" w:rsidP="00E702DD">
      <w:pPr>
        <w:spacing w:after="120"/>
        <w:ind w:left="720"/>
        <w:rPr>
          <w:rFonts w:ascii="Melior" w:hAnsi="Melior"/>
        </w:rPr>
      </w:pPr>
      <w:r w:rsidRPr="00E64A72">
        <w:rPr>
          <w:rFonts w:ascii="Melior" w:hAnsi="Melior"/>
        </w:rPr>
        <w:t>The IBC will meet at least quarterly and more frequently when necessary to expedite the approval process. The IBC will follow these procedures:</w:t>
      </w:r>
    </w:p>
    <w:p w14:paraId="33716028" w14:textId="77777777" w:rsidR="00BE6AFE" w:rsidRPr="00E64A72" w:rsidRDefault="00BE6AFE" w:rsidP="0054727D">
      <w:pPr>
        <w:pStyle w:val="ListParagraph"/>
        <w:numPr>
          <w:ilvl w:val="0"/>
          <w:numId w:val="36"/>
        </w:numPr>
        <w:spacing w:after="60"/>
        <w:ind w:left="1080"/>
        <w:rPr>
          <w:rFonts w:ascii="Melior" w:hAnsi="Melior"/>
        </w:rPr>
      </w:pPr>
      <w:r w:rsidRPr="00E64A72">
        <w:rPr>
          <w:rFonts w:ascii="Melior" w:hAnsi="Melior"/>
        </w:rPr>
        <w:t xml:space="preserve">All </w:t>
      </w:r>
      <w:r w:rsidR="00CD5EDF" w:rsidRPr="00E64A72">
        <w:rPr>
          <w:rFonts w:ascii="Melior" w:hAnsi="Melior"/>
        </w:rPr>
        <w:t>registration</w:t>
      </w:r>
      <w:r w:rsidRPr="00E64A72">
        <w:rPr>
          <w:rFonts w:ascii="Melior" w:hAnsi="Melior"/>
        </w:rPr>
        <w:t>s are due in complete form to the EHS office in advance of the IBC meeting.</w:t>
      </w:r>
      <w:r w:rsidR="009D034B" w:rsidRPr="00E64A72">
        <w:rPr>
          <w:rFonts w:ascii="Melior" w:eastAsiaTheme="minorHAnsi" w:hAnsi="Melior" w:cs="Arial"/>
          <w:color w:val="231F20"/>
          <w:sz w:val="22"/>
          <w:szCs w:val="22"/>
        </w:rPr>
        <w:t xml:space="preserve"> </w:t>
      </w:r>
      <w:r w:rsidR="00B41DAC" w:rsidRPr="00E64A72">
        <w:rPr>
          <w:rFonts w:ascii="Melior" w:hAnsi="Melior"/>
        </w:rPr>
        <w:t xml:space="preserve">The BSO shall assign a tracking </w:t>
      </w:r>
      <w:r w:rsidR="009D034B" w:rsidRPr="00E64A72">
        <w:rPr>
          <w:rFonts w:ascii="Melior" w:hAnsi="Melior"/>
        </w:rPr>
        <w:t>number to each registration for tracking purposes. A separate registration will not be needed for each grant proposal unless a different host/vector/insert system will be used.</w:t>
      </w:r>
    </w:p>
    <w:p w14:paraId="74BCC81F" w14:textId="5187BCE0" w:rsidR="00BE6AFE" w:rsidRPr="00E64A72" w:rsidRDefault="00BE6AFE" w:rsidP="0054727D">
      <w:pPr>
        <w:pStyle w:val="ListParagraph"/>
        <w:numPr>
          <w:ilvl w:val="0"/>
          <w:numId w:val="36"/>
        </w:numPr>
        <w:spacing w:after="60"/>
        <w:ind w:left="1080"/>
        <w:rPr>
          <w:rFonts w:ascii="Melior" w:hAnsi="Melior"/>
        </w:rPr>
      </w:pPr>
      <w:r w:rsidRPr="00E64A72">
        <w:rPr>
          <w:rFonts w:ascii="Melior" w:hAnsi="Melior"/>
        </w:rPr>
        <w:t>The BSO will</w:t>
      </w:r>
      <w:r w:rsidR="009D034B" w:rsidRPr="00E64A72">
        <w:rPr>
          <w:rFonts w:ascii="Melior" w:hAnsi="Melior"/>
        </w:rPr>
        <w:t xml:space="preserve"> </w:t>
      </w:r>
      <w:r w:rsidRPr="00E64A72">
        <w:rPr>
          <w:rFonts w:ascii="Melior" w:hAnsi="Melior"/>
        </w:rPr>
        <w:t>work with the researcher to modify the form as necessary prior to committee review.</w:t>
      </w:r>
      <w:r w:rsidR="00B41DAC" w:rsidRPr="00E64A72">
        <w:rPr>
          <w:rFonts w:ascii="Melior" w:hAnsi="Melior"/>
        </w:rPr>
        <w:t xml:space="preserve"> </w:t>
      </w:r>
      <w:r w:rsidR="00C134DF" w:rsidRPr="00E64A72">
        <w:rPr>
          <w:rFonts w:ascii="Melior" w:hAnsi="Melior"/>
        </w:rPr>
        <w:t>The Principal Investigator</w:t>
      </w:r>
      <w:r w:rsidR="009B003F" w:rsidRPr="00E64A72">
        <w:rPr>
          <w:rFonts w:ascii="Melior" w:hAnsi="Melior"/>
        </w:rPr>
        <w:t xml:space="preserve"> (PI)</w:t>
      </w:r>
      <w:r w:rsidR="00C134DF" w:rsidRPr="00E64A72">
        <w:rPr>
          <w:rFonts w:ascii="Melior" w:hAnsi="Melior"/>
        </w:rPr>
        <w:t xml:space="preserve"> </w:t>
      </w:r>
      <w:r w:rsidR="009B003F" w:rsidRPr="00E64A72">
        <w:rPr>
          <w:rFonts w:ascii="Melior" w:hAnsi="Melior"/>
        </w:rPr>
        <w:t xml:space="preserve">receiving grant funds to conduct the research </w:t>
      </w:r>
      <w:r w:rsidR="00C134DF" w:rsidRPr="00E64A72">
        <w:rPr>
          <w:rFonts w:ascii="Melior" w:hAnsi="Melior"/>
        </w:rPr>
        <w:t>must be listed as the PI on the registration form.</w:t>
      </w:r>
    </w:p>
    <w:p w14:paraId="4C995A90" w14:textId="77777777" w:rsidR="00BE6AFE" w:rsidRPr="00E64A72" w:rsidRDefault="00BE6AFE" w:rsidP="0054727D">
      <w:pPr>
        <w:pStyle w:val="ListParagraph"/>
        <w:numPr>
          <w:ilvl w:val="0"/>
          <w:numId w:val="36"/>
        </w:numPr>
        <w:spacing w:after="60"/>
        <w:ind w:left="1080"/>
        <w:rPr>
          <w:rFonts w:ascii="Melior" w:hAnsi="Melior"/>
        </w:rPr>
      </w:pPr>
      <w:r w:rsidRPr="00E64A72">
        <w:rPr>
          <w:rFonts w:ascii="Melior" w:hAnsi="Melior"/>
        </w:rPr>
        <w:t xml:space="preserve">The BSO will finalize the </w:t>
      </w:r>
      <w:r w:rsidR="00CD5EDF" w:rsidRPr="00E64A72">
        <w:rPr>
          <w:rFonts w:ascii="Melior" w:hAnsi="Melior"/>
        </w:rPr>
        <w:t>registration</w:t>
      </w:r>
      <w:r w:rsidRPr="00E64A72">
        <w:rPr>
          <w:rFonts w:ascii="Melior" w:hAnsi="Melior"/>
        </w:rPr>
        <w:t xml:space="preserve">s and agenda </w:t>
      </w:r>
      <w:r w:rsidR="009B003F" w:rsidRPr="00E64A72">
        <w:rPr>
          <w:rFonts w:ascii="Melior" w:hAnsi="Melior"/>
        </w:rPr>
        <w:t xml:space="preserve">no less than </w:t>
      </w:r>
      <w:r w:rsidR="00B41DAC" w:rsidRPr="00E64A72">
        <w:rPr>
          <w:rFonts w:ascii="Melior" w:hAnsi="Melior"/>
        </w:rPr>
        <w:t>three</w:t>
      </w:r>
      <w:r w:rsidRPr="00E64A72">
        <w:rPr>
          <w:rFonts w:ascii="Melior" w:hAnsi="Melior"/>
        </w:rPr>
        <w:t xml:space="preserve"> days prior to the IBC meeting, and </w:t>
      </w:r>
      <w:r w:rsidR="00AC273F" w:rsidRPr="00E64A72">
        <w:rPr>
          <w:rFonts w:ascii="Melior" w:hAnsi="Melior"/>
        </w:rPr>
        <w:t>will distribute meeting materials, requesting review prior to the meeting</w:t>
      </w:r>
      <w:r w:rsidRPr="00E64A72">
        <w:rPr>
          <w:rFonts w:ascii="Melior" w:hAnsi="Melior"/>
        </w:rPr>
        <w:t xml:space="preserve">. </w:t>
      </w:r>
      <w:r w:rsidR="00AC273F" w:rsidRPr="00E64A72">
        <w:rPr>
          <w:rFonts w:ascii="Melior" w:hAnsi="Melior"/>
        </w:rPr>
        <w:t>T</w:t>
      </w:r>
      <w:r w:rsidRPr="00E64A72">
        <w:rPr>
          <w:rFonts w:ascii="Melior" w:hAnsi="Melior"/>
        </w:rPr>
        <w:t xml:space="preserve">he chair and/or BSO will assure appropriate expertise is available for review of the </w:t>
      </w:r>
      <w:r w:rsidR="00CD5EDF" w:rsidRPr="00E64A72">
        <w:rPr>
          <w:rFonts w:ascii="Melior" w:hAnsi="Melior"/>
        </w:rPr>
        <w:t>registration</w:t>
      </w:r>
      <w:r w:rsidRPr="00E64A72">
        <w:rPr>
          <w:rFonts w:ascii="Melior" w:hAnsi="Melior"/>
        </w:rPr>
        <w:t>s.</w:t>
      </w:r>
    </w:p>
    <w:p w14:paraId="16E75124" w14:textId="291294B0" w:rsidR="00AC273F" w:rsidRPr="00E64A72" w:rsidRDefault="00AC273F" w:rsidP="0054727D">
      <w:pPr>
        <w:pStyle w:val="ListParagraph"/>
        <w:numPr>
          <w:ilvl w:val="0"/>
          <w:numId w:val="36"/>
        </w:numPr>
        <w:spacing w:after="60"/>
        <w:ind w:left="1080"/>
        <w:rPr>
          <w:rFonts w:ascii="Melior" w:hAnsi="Melior"/>
        </w:rPr>
      </w:pPr>
      <w:r w:rsidRPr="00E64A72">
        <w:rPr>
          <w:rFonts w:ascii="Melior" w:hAnsi="Melior"/>
        </w:rPr>
        <w:t xml:space="preserve">The IBC approves </w:t>
      </w:r>
      <w:r w:rsidR="00CD5EDF" w:rsidRPr="00E64A72">
        <w:rPr>
          <w:rFonts w:ascii="Melior" w:hAnsi="Melior"/>
        </w:rPr>
        <w:t>registration</w:t>
      </w:r>
      <w:r w:rsidRPr="00E64A72">
        <w:rPr>
          <w:rFonts w:ascii="Melior" w:hAnsi="Melior"/>
        </w:rPr>
        <w:t xml:space="preserve">s by a majority vote of the </w:t>
      </w:r>
      <w:r w:rsidR="004D0182">
        <w:rPr>
          <w:rFonts w:ascii="Melior" w:hAnsi="Melior"/>
        </w:rPr>
        <w:t>attendance</w:t>
      </w:r>
      <w:r w:rsidR="00197DF3" w:rsidRPr="00E64A72">
        <w:rPr>
          <w:rFonts w:ascii="Melior" w:hAnsi="Melior"/>
        </w:rPr>
        <w:t xml:space="preserve"> </w:t>
      </w:r>
      <w:r w:rsidRPr="00E64A72">
        <w:rPr>
          <w:rFonts w:ascii="Melior" w:hAnsi="Melior"/>
        </w:rPr>
        <w:t xml:space="preserve">at a designated meeting. Although information regarding </w:t>
      </w:r>
      <w:r w:rsidR="00CD5EDF" w:rsidRPr="00E64A72">
        <w:rPr>
          <w:rFonts w:ascii="Melior" w:hAnsi="Melior"/>
        </w:rPr>
        <w:t>registration</w:t>
      </w:r>
      <w:r w:rsidRPr="00E64A72">
        <w:rPr>
          <w:rFonts w:ascii="Melior" w:hAnsi="Melior"/>
        </w:rPr>
        <w:t>s may be communicated by email, voting must occur at a designated meeting. Meetings must be held in person or via conference call.</w:t>
      </w:r>
    </w:p>
    <w:p w14:paraId="54652B17" w14:textId="5F65C30D" w:rsidR="00417CCE" w:rsidRPr="00E64A72" w:rsidRDefault="00CD5EDF" w:rsidP="0054727D">
      <w:pPr>
        <w:pStyle w:val="ListParagraph"/>
        <w:numPr>
          <w:ilvl w:val="0"/>
          <w:numId w:val="36"/>
        </w:numPr>
        <w:spacing w:after="120"/>
        <w:ind w:left="1080"/>
        <w:rPr>
          <w:rFonts w:ascii="Melior" w:hAnsi="Melior"/>
        </w:rPr>
      </w:pPr>
      <w:r w:rsidRPr="00E64A72">
        <w:rPr>
          <w:rFonts w:ascii="Melior" w:hAnsi="Melior"/>
        </w:rPr>
        <w:t>Registrations</w:t>
      </w:r>
      <w:r w:rsidR="00417CCE" w:rsidRPr="00E64A72">
        <w:rPr>
          <w:rFonts w:ascii="Melior" w:hAnsi="Melior"/>
        </w:rPr>
        <w:t xml:space="preserve"> that require IBC notification rather than IBC approval will be administratively approved by the </w:t>
      </w:r>
      <w:r w:rsidR="009B003F" w:rsidRPr="00E64A72">
        <w:rPr>
          <w:rFonts w:ascii="Melior" w:hAnsi="Melior"/>
        </w:rPr>
        <w:t xml:space="preserve">BSO </w:t>
      </w:r>
      <w:r w:rsidR="00417CCE" w:rsidRPr="00E64A72">
        <w:rPr>
          <w:rFonts w:ascii="Melior" w:hAnsi="Melior"/>
        </w:rPr>
        <w:t>and reported at the meeting.</w:t>
      </w:r>
    </w:p>
    <w:p w14:paraId="6508483D" w14:textId="77777777" w:rsidR="00BE6AFE" w:rsidRPr="00E64A72" w:rsidRDefault="00BE6AFE" w:rsidP="00E702DD">
      <w:pPr>
        <w:spacing w:after="120"/>
        <w:ind w:left="720"/>
        <w:rPr>
          <w:rFonts w:ascii="Melior" w:hAnsi="Melior"/>
        </w:rPr>
      </w:pPr>
      <w:r w:rsidRPr="00E64A72">
        <w:rPr>
          <w:rFonts w:ascii="Melior" w:hAnsi="Melior"/>
        </w:rPr>
        <w:t>A quorum for the meeting is defined as</w:t>
      </w:r>
      <w:r w:rsidR="00AC273F" w:rsidRPr="00E64A72">
        <w:rPr>
          <w:rFonts w:ascii="Melior" w:hAnsi="Melior"/>
        </w:rPr>
        <w:t xml:space="preserve"> </w:t>
      </w:r>
      <w:r w:rsidR="00630913" w:rsidRPr="00E64A72">
        <w:rPr>
          <w:rFonts w:ascii="Melior" w:hAnsi="Melior"/>
        </w:rPr>
        <w:t>no less than 50% of</w:t>
      </w:r>
      <w:r w:rsidR="00AC273F" w:rsidRPr="00E64A72">
        <w:rPr>
          <w:rFonts w:ascii="Melior" w:hAnsi="Melior"/>
        </w:rPr>
        <w:t xml:space="preserve"> voting members present</w:t>
      </w:r>
      <w:r w:rsidRPr="00E64A72">
        <w:rPr>
          <w:rFonts w:ascii="Melior" w:hAnsi="Melior"/>
        </w:rPr>
        <w:t>.</w:t>
      </w:r>
      <w:r w:rsidR="00AC273F" w:rsidRPr="00E64A72">
        <w:rPr>
          <w:rFonts w:ascii="Melior" w:hAnsi="Melior"/>
        </w:rPr>
        <w:t xml:space="preserve"> It is preferred that a community member be among those present at e</w:t>
      </w:r>
      <w:r w:rsidR="0009506B" w:rsidRPr="00E64A72">
        <w:rPr>
          <w:rFonts w:ascii="Melior" w:hAnsi="Melior"/>
        </w:rPr>
        <w:t>very</w:t>
      </w:r>
      <w:r w:rsidR="00AC273F" w:rsidRPr="00E64A72">
        <w:rPr>
          <w:rFonts w:ascii="Melior" w:hAnsi="Melior"/>
        </w:rPr>
        <w:t xml:space="preserve"> meeting.</w:t>
      </w:r>
    </w:p>
    <w:p w14:paraId="6154DDEB" w14:textId="0F7CEEB9" w:rsidR="00417CCE" w:rsidRPr="00E64A72" w:rsidRDefault="00CD5EDF" w:rsidP="00E702DD">
      <w:pPr>
        <w:spacing w:after="120"/>
        <w:ind w:left="720"/>
        <w:rPr>
          <w:rFonts w:ascii="Melior" w:hAnsi="Melior"/>
        </w:rPr>
      </w:pPr>
      <w:r w:rsidRPr="00E64A72">
        <w:rPr>
          <w:rFonts w:ascii="Melior" w:hAnsi="Melior"/>
        </w:rPr>
        <w:t>Registration</w:t>
      </w:r>
      <w:r w:rsidR="00417CCE" w:rsidRPr="00E64A72">
        <w:rPr>
          <w:rFonts w:ascii="Melior" w:hAnsi="Melior"/>
        </w:rPr>
        <w:t xml:space="preserve"> approvals are valid for three years. If changes are to be made to a </w:t>
      </w:r>
      <w:r w:rsidRPr="00E64A72">
        <w:rPr>
          <w:rFonts w:ascii="Melior" w:hAnsi="Melior"/>
        </w:rPr>
        <w:t>registration</w:t>
      </w:r>
      <w:r w:rsidR="00417CCE" w:rsidRPr="00E64A72">
        <w:rPr>
          <w:rFonts w:ascii="Melior" w:hAnsi="Melior"/>
        </w:rPr>
        <w:t xml:space="preserve">, the PI shall submit a revised registration form </w:t>
      </w:r>
      <w:r w:rsidR="00F01324" w:rsidRPr="00E64A72">
        <w:rPr>
          <w:rFonts w:ascii="Melior" w:hAnsi="Melior"/>
        </w:rPr>
        <w:t>delineat</w:t>
      </w:r>
      <w:r w:rsidR="007B5C68" w:rsidRPr="00E64A72">
        <w:rPr>
          <w:rFonts w:ascii="Melior" w:hAnsi="Melior"/>
        </w:rPr>
        <w:t>ing</w:t>
      </w:r>
      <w:r w:rsidR="00417CCE" w:rsidRPr="00E64A72">
        <w:rPr>
          <w:rFonts w:ascii="Melior" w:hAnsi="Melior"/>
        </w:rPr>
        <w:t xml:space="preserve"> the updated aspects of the work. Significant changes may require submission of a new registration form. </w:t>
      </w:r>
      <w:r w:rsidR="00F06B90" w:rsidRPr="00E64A72">
        <w:rPr>
          <w:rFonts w:ascii="Melior" w:hAnsi="Melior"/>
        </w:rPr>
        <w:t>C</w:t>
      </w:r>
      <w:r w:rsidR="00C134DF" w:rsidRPr="00E64A72">
        <w:rPr>
          <w:rFonts w:ascii="Melior" w:hAnsi="Melior"/>
        </w:rPr>
        <w:t>hanges in personnel</w:t>
      </w:r>
      <w:r w:rsidR="00417CCE" w:rsidRPr="00E64A72">
        <w:rPr>
          <w:rFonts w:ascii="Melior" w:hAnsi="Melior"/>
        </w:rPr>
        <w:t xml:space="preserve"> may be approved administratively</w:t>
      </w:r>
      <w:r w:rsidR="00C134DF" w:rsidRPr="00E64A72">
        <w:rPr>
          <w:rFonts w:ascii="Melior" w:hAnsi="Melior"/>
        </w:rPr>
        <w:t>.</w:t>
      </w:r>
    </w:p>
    <w:p w14:paraId="1393BE86" w14:textId="77777777" w:rsidR="001C511B" w:rsidRPr="00E64A72" w:rsidRDefault="001C511B" w:rsidP="0054727D">
      <w:pPr>
        <w:pStyle w:val="Heading2"/>
      </w:pPr>
      <w:r w:rsidRPr="00E64A72">
        <w:t>Conflict of Interest Policy</w:t>
      </w:r>
    </w:p>
    <w:p w14:paraId="2600E802" w14:textId="74806AD2" w:rsidR="00BE6AFE" w:rsidRDefault="001C511B" w:rsidP="00E702DD">
      <w:pPr>
        <w:spacing w:after="120"/>
        <w:ind w:left="720"/>
        <w:rPr>
          <w:rFonts w:ascii="Melior" w:hAnsi="Melior"/>
        </w:rPr>
      </w:pPr>
      <w:r w:rsidRPr="00E64A72">
        <w:rPr>
          <w:rFonts w:ascii="Melior" w:hAnsi="Melior"/>
        </w:rPr>
        <w:t xml:space="preserve">As required by the </w:t>
      </w:r>
      <w:r w:rsidRPr="00E64A72">
        <w:rPr>
          <w:rFonts w:ascii="Melior" w:hAnsi="Melior"/>
          <w:i/>
        </w:rPr>
        <w:t>NIH Guidelines</w:t>
      </w:r>
      <w:r w:rsidRPr="00E64A72">
        <w:rPr>
          <w:rFonts w:ascii="Melior" w:hAnsi="Melior"/>
        </w:rPr>
        <w:t>, Section IV-B-2-a-(4), no member of an IBC may be involved in the approval of a project in which he/she has been or expects to be engaged or h</w:t>
      </w:r>
      <w:r w:rsidR="00AE4CFA" w:rsidRPr="00E64A72">
        <w:rPr>
          <w:rFonts w:ascii="Melior" w:hAnsi="Melior"/>
        </w:rPr>
        <w:t>as a direct financial interest</w:t>
      </w:r>
      <w:r w:rsidR="00795CE5" w:rsidRPr="00E64A72">
        <w:rPr>
          <w:rFonts w:ascii="Melior" w:hAnsi="Melior"/>
        </w:rPr>
        <w:t>, except to provide information requested by the IBC</w:t>
      </w:r>
      <w:r w:rsidR="00630913" w:rsidRPr="00E64A72">
        <w:rPr>
          <w:rFonts w:ascii="Melior" w:hAnsi="Melior"/>
        </w:rPr>
        <w:t xml:space="preserve">. </w:t>
      </w:r>
      <w:r w:rsidR="00BE6AFE" w:rsidRPr="00E64A72">
        <w:rPr>
          <w:rFonts w:ascii="Melior" w:hAnsi="Melior"/>
        </w:rPr>
        <w:t>No member of the</w:t>
      </w:r>
      <w:r w:rsidRPr="00E64A72">
        <w:rPr>
          <w:rFonts w:ascii="Melior" w:hAnsi="Melior"/>
        </w:rPr>
        <w:t xml:space="preserve"> UO</w:t>
      </w:r>
      <w:r w:rsidR="00BE6AFE" w:rsidRPr="00E64A72">
        <w:rPr>
          <w:rFonts w:ascii="Melior" w:hAnsi="Melior"/>
        </w:rPr>
        <w:t xml:space="preserve"> IBC will vote on a </w:t>
      </w:r>
      <w:r w:rsidR="00CD5EDF" w:rsidRPr="008E34C2">
        <w:rPr>
          <w:rFonts w:ascii="Melior" w:hAnsi="Melior"/>
        </w:rPr>
        <w:t xml:space="preserve">registration </w:t>
      </w:r>
      <w:r w:rsidR="00BE6AFE" w:rsidRPr="008E34C2">
        <w:rPr>
          <w:rFonts w:ascii="Melior" w:hAnsi="Melior"/>
        </w:rPr>
        <w:t>with which he or she has any connection or in which he or she has a personal or professional interest other than as a member of the IBC</w:t>
      </w:r>
      <w:r w:rsidR="00AE4CFA" w:rsidRPr="008E34C2">
        <w:rPr>
          <w:rFonts w:ascii="Melior" w:hAnsi="Melior"/>
        </w:rPr>
        <w:t>.</w:t>
      </w:r>
    </w:p>
    <w:p w14:paraId="7D8EF372" w14:textId="701E51AD" w:rsidR="009B4869" w:rsidRDefault="009B4869" w:rsidP="00E702DD">
      <w:pPr>
        <w:spacing w:after="120"/>
        <w:ind w:left="720"/>
        <w:rPr>
          <w:rFonts w:ascii="Melior" w:hAnsi="Melior"/>
        </w:rPr>
      </w:pPr>
    </w:p>
    <w:p w14:paraId="56303E07" w14:textId="77777777" w:rsidR="009B4869" w:rsidRPr="008E34C2" w:rsidRDefault="009B4869" w:rsidP="00E702DD">
      <w:pPr>
        <w:spacing w:after="120"/>
        <w:ind w:left="720"/>
        <w:rPr>
          <w:rFonts w:ascii="Melior" w:hAnsi="Melior"/>
        </w:rPr>
      </w:pPr>
    </w:p>
    <w:p w14:paraId="24A8F581" w14:textId="6D8DA601" w:rsidR="00332FA2" w:rsidRPr="008E34C2" w:rsidRDefault="00332FA2" w:rsidP="00E702DD">
      <w:pPr>
        <w:spacing w:after="120"/>
        <w:ind w:left="720"/>
        <w:rPr>
          <w:rFonts w:ascii="Melior" w:hAnsi="Melior"/>
          <w:b/>
          <w:i/>
        </w:rPr>
      </w:pPr>
      <w:r w:rsidRPr="008E34C2">
        <w:rPr>
          <w:rFonts w:ascii="Melior" w:hAnsi="Melior"/>
          <w:b/>
          <w:i/>
        </w:rPr>
        <w:t>Confidentiality</w:t>
      </w:r>
    </w:p>
    <w:p w14:paraId="6E2660EF" w14:textId="53C29A33" w:rsidR="00332FA2" w:rsidRPr="00E64A72" w:rsidRDefault="00B433C6" w:rsidP="00E702DD">
      <w:pPr>
        <w:spacing w:after="120"/>
        <w:ind w:left="720"/>
        <w:rPr>
          <w:rFonts w:ascii="Melior" w:hAnsi="Melior"/>
        </w:rPr>
      </w:pPr>
      <w:r w:rsidRPr="008E34C2">
        <w:rPr>
          <w:rFonts w:ascii="Melior" w:hAnsi="Melior"/>
        </w:rPr>
        <w:t xml:space="preserve">It is expected that IBC members will not disclose the details of meetings or associated submissions with individuals not affiliated with the IBC. Such disclosures could </w:t>
      </w:r>
      <w:r w:rsidRPr="008E34C2">
        <w:rPr>
          <w:rFonts w:ascii="Melior" w:hAnsi="Melior"/>
        </w:rPr>
        <w:lastRenderedPageBreak/>
        <w:t xml:space="preserve">compromise Principal Investigators’ research goals and proprietary interests as well as the willingness of members to conduct open discussions. Members contacted for information should forward requests to the BSO, who will consult with the </w:t>
      </w:r>
      <w:r w:rsidR="00067138" w:rsidRPr="008E34C2">
        <w:rPr>
          <w:rFonts w:ascii="Melior" w:hAnsi="Melior"/>
        </w:rPr>
        <w:t>UO Legal</w:t>
      </w:r>
      <w:r w:rsidRPr="008E34C2">
        <w:rPr>
          <w:rFonts w:ascii="Melior" w:hAnsi="Melior"/>
        </w:rPr>
        <w:t xml:space="preserve"> Counsel and the </w:t>
      </w:r>
      <w:r w:rsidR="00067138" w:rsidRPr="008E34C2">
        <w:rPr>
          <w:rFonts w:ascii="Melior" w:hAnsi="Melior"/>
        </w:rPr>
        <w:t>Public Records Office</w:t>
      </w:r>
      <w:r w:rsidRPr="008E34C2">
        <w:rPr>
          <w:rFonts w:ascii="Melior" w:hAnsi="Melior"/>
        </w:rPr>
        <w:t xml:space="preserve"> as appropriate.</w:t>
      </w:r>
    </w:p>
    <w:p w14:paraId="7966A68E" w14:textId="7FD5DB63" w:rsidR="00D30807" w:rsidRPr="00E64A72" w:rsidRDefault="0054727D" w:rsidP="0054727D">
      <w:pPr>
        <w:pStyle w:val="Heading1"/>
      </w:pPr>
      <w:r>
        <w:t xml:space="preserve">IBC </w:t>
      </w:r>
      <w:r w:rsidR="00483B15" w:rsidRPr="00E64A72">
        <w:t>Minutes</w:t>
      </w:r>
    </w:p>
    <w:p w14:paraId="01B0F3BD" w14:textId="3E406226" w:rsidR="00483B15" w:rsidRPr="00E64A72" w:rsidRDefault="00483B15" w:rsidP="00E702DD">
      <w:pPr>
        <w:spacing w:after="120"/>
        <w:ind w:left="720"/>
        <w:rPr>
          <w:rFonts w:ascii="Melior" w:hAnsi="Melior"/>
        </w:rPr>
      </w:pPr>
      <w:r w:rsidRPr="00E64A72">
        <w:rPr>
          <w:rFonts w:ascii="Melior" w:hAnsi="Melior"/>
        </w:rPr>
        <w:t>The BSO will develop meeting minutes to be approved at the subsequent meeting of the IBC</w:t>
      </w:r>
      <w:r w:rsidR="00630913" w:rsidRPr="00E64A72">
        <w:rPr>
          <w:rFonts w:ascii="Melior" w:hAnsi="Melior"/>
        </w:rPr>
        <w:t xml:space="preserve">. </w:t>
      </w:r>
      <w:r w:rsidRPr="00E64A72">
        <w:rPr>
          <w:rFonts w:ascii="Melior" w:hAnsi="Melior"/>
        </w:rPr>
        <w:t>The minutes will include the date of the IBC meeting</w:t>
      </w:r>
      <w:r w:rsidR="000B7E32" w:rsidRPr="00E64A72">
        <w:rPr>
          <w:rFonts w:ascii="Melior" w:hAnsi="Melior"/>
        </w:rPr>
        <w:t>;</w:t>
      </w:r>
      <w:r w:rsidRPr="00E64A72">
        <w:rPr>
          <w:rFonts w:ascii="Melior" w:hAnsi="Melior"/>
        </w:rPr>
        <w:t xml:space="preserve"> </w:t>
      </w:r>
      <w:r w:rsidR="00795CE5" w:rsidRPr="00E64A72">
        <w:rPr>
          <w:rFonts w:ascii="Melior" w:hAnsi="Melior"/>
        </w:rPr>
        <w:t xml:space="preserve">the </w:t>
      </w:r>
      <w:r w:rsidRPr="00E64A72">
        <w:rPr>
          <w:rFonts w:ascii="Melior" w:hAnsi="Melior"/>
        </w:rPr>
        <w:t>location</w:t>
      </w:r>
      <w:r w:rsidR="000B7E32" w:rsidRPr="00E64A72">
        <w:rPr>
          <w:rFonts w:ascii="Melior" w:hAnsi="Melior"/>
        </w:rPr>
        <w:t>;</w:t>
      </w:r>
      <w:r w:rsidRPr="00E64A72">
        <w:rPr>
          <w:rFonts w:ascii="Melior" w:hAnsi="Melior"/>
        </w:rPr>
        <w:t xml:space="preserve"> meeting attendees</w:t>
      </w:r>
      <w:r w:rsidR="000B7E32" w:rsidRPr="00E64A72">
        <w:rPr>
          <w:rFonts w:ascii="Melior" w:hAnsi="Melior"/>
        </w:rPr>
        <w:t>;</w:t>
      </w:r>
      <w:r w:rsidRPr="00E64A72">
        <w:rPr>
          <w:rFonts w:ascii="Melior" w:hAnsi="Melior"/>
        </w:rPr>
        <w:t xml:space="preserve"> </w:t>
      </w:r>
      <w:proofErr w:type="spellStart"/>
      <w:r w:rsidRPr="00E64A72">
        <w:rPr>
          <w:rFonts w:ascii="Melior" w:hAnsi="Melior"/>
        </w:rPr>
        <w:t>rsNA</w:t>
      </w:r>
      <w:proofErr w:type="spellEnd"/>
      <w:r w:rsidRPr="00E64A72">
        <w:rPr>
          <w:rFonts w:ascii="Melior" w:hAnsi="Melior"/>
        </w:rPr>
        <w:t xml:space="preserve"> or IBC business</w:t>
      </w:r>
      <w:r w:rsidR="000B7E32" w:rsidRPr="00E64A72">
        <w:rPr>
          <w:rFonts w:ascii="Melior" w:hAnsi="Melior"/>
        </w:rPr>
        <w:t>;</w:t>
      </w:r>
      <w:r w:rsidRPr="00E64A72">
        <w:rPr>
          <w:rFonts w:ascii="Melior" w:hAnsi="Melior"/>
        </w:rPr>
        <w:t xml:space="preserve"> and reviewed </w:t>
      </w:r>
      <w:r w:rsidR="00CD5EDF" w:rsidRPr="00E64A72">
        <w:rPr>
          <w:rFonts w:ascii="Melior" w:hAnsi="Melior"/>
        </w:rPr>
        <w:t>registration</w:t>
      </w:r>
      <w:r w:rsidRPr="00E64A72">
        <w:rPr>
          <w:rFonts w:ascii="Melior" w:hAnsi="Melior"/>
        </w:rPr>
        <w:t xml:space="preserve">s </w:t>
      </w:r>
      <w:r w:rsidR="000B7E32" w:rsidRPr="00E64A72">
        <w:rPr>
          <w:rFonts w:ascii="Melior" w:hAnsi="Melior"/>
        </w:rPr>
        <w:t>including,</w:t>
      </w:r>
      <w:r w:rsidR="00A950E0" w:rsidRPr="00E64A72">
        <w:rPr>
          <w:rFonts w:ascii="Melior" w:hAnsi="Melior"/>
        </w:rPr>
        <w:t xml:space="preserve"> at a minimum</w:t>
      </w:r>
      <w:r w:rsidRPr="00E64A72">
        <w:rPr>
          <w:rFonts w:ascii="Melior" w:hAnsi="Melior"/>
        </w:rPr>
        <w:t>, for each:</w:t>
      </w:r>
    </w:p>
    <w:p w14:paraId="516FE934" w14:textId="36E9CDF2" w:rsidR="00483B15" w:rsidRPr="00E64A72" w:rsidRDefault="000B7E32" w:rsidP="00E702DD">
      <w:pPr>
        <w:pStyle w:val="ListParagraph"/>
        <w:numPr>
          <w:ilvl w:val="0"/>
          <w:numId w:val="30"/>
        </w:numPr>
        <w:spacing w:after="60"/>
        <w:ind w:left="1440"/>
        <w:rPr>
          <w:rFonts w:ascii="Melior" w:hAnsi="Melior"/>
        </w:rPr>
      </w:pPr>
      <w:r w:rsidRPr="00E64A72">
        <w:rPr>
          <w:rFonts w:ascii="Melior" w:hAnsi="Melior"/>
        </w:rPr>
        <w:t>The IBC tracking number</w:t>
      </w:r>
    </w:p>
    <w:p w14:paraId="4D524A54" w14:textId="6FADE4A6" w:rsidR="00483B15" w:rsidRPr="00E64A72" w:rsidRDefault="000B7E32" w:rsidP="00E702DD">
      <w:pPr>
        <w:pStyle w:val="ListParagraph"/>
        <w:numPr>
          <w:ilvl w:val="0"/>
          <w:numId w:val="30"/>
        </w:numPr>
        <w:spacing w:after="60"/>
        <w:ind w:left="1440"/>
        <w:rPr>
          <w:rFonts w:ascii="Melior" w:hAnsi="Melior"/>
        </w:rPr>
      </w:pPr>
      <w:r w:rsidRPr="00E64A72">
        <w:rPr>
          <w:rFonts w:ascii="Melior" w:hAnsi="Melior"/>
        </w:rPr>
        <w:t>T</w:t>
      </w:r>
      <w:r w:rsidR="00483B15" w:rsidRPr="00E64A72">
        <w:rPr>
          <w:rFonts w:ascii="Melior" w:hAnsi="Melior"/>
        </w:rPr>
        <w:t xml:space="preserve">itle of the </w:t>
      </w:r>
      <w:r w:rsidR="00CD5EDF" w:rsidRPr="00E64A72">
        <w:rPr>
          <w:rFonts w:ascii="Melior" w:hAnsi="Melior"/>
        </w:rPr>
        <w:t>registration</w:t>
      </w:r>
    </w:p>
    <w:p w14:paraId="68FA5B92" w14:textId="439CF55F" w:rsidR="00483B15" w:rsidRPr="00E64A72" w:rsidRDefault="000B7E32" w:rsidP="00E702DD">
      <w:pPr>
        <w:pStyle w:val="ListParagraph"/>
        <w:numPr>
          <w:ilvl w:val="0"/>
          <w:numId w:val="30"/>
        </w:numPr>
        <w:spacing w:after="60"/>
        <w:ind w:left="1440"/>
        <w:rPr>
          <w:rFonts w:ascii="Melior" w:hAnsi="Melior"/>
        </w:rPr>
      </w:pPr>
      <w:r w:rsidRPr="00E64A72">
        <w:rPr>
          <w:rFonts w:ascii="Melior" w:hAnsi="Melior"/>
        </w:rPr>
        <w:t>A</w:t>
      </w:r>
      <w:r w:rsidR="00483B15" w:rsidRPr="00E64A72">
        <w:rPr>
          <w:rFonts w:ascii="Melior" w:hAnsi="Melior"/>
        </w:rPr>
        <w:t xml:space="preserve"> brief description of the proposed work</w:t>
      </w:r>
    </w:p>
    <w:p w14:paraId="6797CED2" w14:textId="3A4FF502" w:rsidR="00483B15" w:rsidRPr="00E64A72" w:rsidRDefault="000B7E32" w:rsidP="00E702DD">
      <w:pPr>
        <w:pStyle w:val="ListParagraph"/>
        <w:numPr>
          <w:ilvl w:val="0"/>
          <w:numId w:val="30"/>
        </w:numPr>
        <w:spacing w:after="60"/>
        <w:ind w:left="1440"/>
        <w:rPr>
          <w:rFonts w:ascii="Melior" w:hAnsi="Melior"/>
        </w:rPr>
      </w:pPr>
      <w:r w:rsidRPr="00E64A72">
        <w:rPr>
          <w:rFonts w:ascii="Melior" w:hAnsi="Melior"/>
        </w:rPr>
        <w:t>T</w:t>
      </w:r>
      <w:r w:rsidR="00483B15" w:rsidRPr="00E64A72">
        <w:rPr>
          <w:rFonts w:ascii="Melior" w:hAnsi="Melior"/>
        </w:rPr>
        <w:t>he approved biosafety level of containment</w:t>
      </w:r>
    </w:p>
    <w:p w14:paraId="45E645E0" w14:textId="7C3BCE1B" w:rsidR="00483B15" w:rsidRPr="00E64A72" w:rsidRDefault="000B7E32" w:rsidP="00E702DD">
      <w:pPr>
        <w:pStyle w:val="ListParagraph"/>
        <w:numPr>
          <w:ilvl w:val="0"/>
          <w:numId w:val="30"/>
        </w:numPr>
        <w:spacing w:after="60"/>
        <w:ind w:left="1440"/>
        <w:rPr>
          <w:rFonts w:ascii="Melior" w:hAnsi="Melior"/>
        </w:rPr>
      </w:pPr>
      <w:r w:rsidRPr="00E64A72">
        <w:rPr>
          <w:rFonts w:ascii="Melior" w:hAnsi="Melior"/>
        </w:rPr>
        <w:t>A</w:t>
      </w:r>
      <w:r w:rsidR="00483B15" w:rsidRPr="00E64A72">
        <w:rPr>
          <w:rFonts w:ascii="Melior" w:hAnsi="Melior"/>
        </w:rPr>
        <w:t xml:space="preserve">ny additional requirements for approval </w:t>
      </w:r>
    </w:p>
    <w:p w14:paraId="2E137852" w14:textId="5B7625D2" w:rsidR="00483B15" w:rsidRPr="00E64A72" w:rsidRDefault="000B7E32" w:rsidP="00E702DD">
      <w:pPr>
        <w:pStyle w:val="ListParagraph"/>
        <w:numPr>
          <w:ilvl w:val="0"/>
          <w:numId w:val="30"/>
        </w:numPr>
        <w:spacing w:after="60"/>
        <w:ind w:left="1440"/>
        <w:rPr>
          <w:rFonts w:ascii="Melior" w:hAnsi="Melior"/>
        </w:rPr>
      </w:pPr>
      <w:r w:rsidRPr="00E64A72">
        <w:rPr>
          <w:rFonts w:ascii="Melior" w:hAnsi="Melior"/>
        </w:rPr>
        <w:t>T</w:t>
      </w:r>
      <w:r w:rsidR="00483B15" w:rsidRPr="00E64A72">
        <w:rPr>
          <w:rFonts w:ascii="Melior" w:hAnsi="Melior"/>
        </w:rPr>
        <w:t xml:space="preserve">he applicable section(s) of the </w:t>
      </w:r>
      <w:r w:rsidR="00483B15" w:rsidRPr="00E64A72">
        <w:rPr>
          <w:rFonts w:ascii="Melior" w:hAnsi="Melior"/>
          <w:i/>
        </w:rPr>
        <w:t>NIH Guidelines</w:t>
      </w:r>
    </w:p>
    <w:p w14:paraId="3BFBA261" w14:textId="32407C9A" w:rsidR="00A950E0" w:rsidRPr="008E34C2" w:rsidRDefault="000B7E32" w:rsidP="0068465A">
      <w:pPr>
        <w:pStyle w:val="ListParagraph"/>
        <w:numPr>
          <w:ilvl w:val="0"/>
          <w:numId w:val="30"/>
        </w:numPr>
        <w:spacing w:after="120"/>
        <w:ind w:left="1440"/>
        <w:rPr>
          <w:rFonts w:ascii="Melior" w:hAnsi="Melior"/>
        </w:rPr>
      </w:pPr>
      <w:r w:rsidRPr="008E34C2">
        <w:rPr>
          <w:rFonts w:ascii="Melior" w:hAnsi="Melior"/>
        </w:rPr>
        <w:t>T</w:t>
      </w:r>
      <w:r w:rsidR="00A950E0" w:rsidRPr="008E34C2">
        <w:rPr>
          <w:rFonts w:ascii="Melior" w:hAnsi="Melior"/>
        </w:rPr>
        <w:t xml:space="preserve">he final voting outcome of the </w:t>
      </w:r>
      <w:r w:rsidR="00CD5EDF" w:rsidRPr="008E34C2">
        <w:rPr>
          <w:rFonts w:ascii="Melior" w:hAnsi="Melior"/>
        </w:rPr>
        <w:t>registration</w:t>
      </w:r>
    </w:p>
    <w:p w14:paraId="043AC0CB" w14:textId="464C102F" w:rsidR="00483B15" w:rsidRPr="008E34C2" w:rsidRDefault="00483B15" w:rsidP="00E702DD">
      <w:pPr>
        <w:spacing w:after="120"/>
        <w:ind w:left="720"/>
        <w:rPr>
          <w:rFonts w:ascii="Melior" w:hAnsi="Melior"/>
        </w:rPr>
      </w:pPr>
      <w:r w:rsidRPr="008E34C2">
        <w:rPr>
          <w:rFonts w:ascii="Melior" w:hAnsi="Melior"/>
        </w:rPr>
        <w:t xml:space="preserve">Members of the public requesting copies of the IBC minutes will be directed to the </w:t>
      </w:r>
      <w:r w:rsidR="00795CE5" w:rsidRPr="008E34C2">
        <w:rPr>
          <w:rFonts w:ascii="Melior" w:hAnsi="Melior"/>
        </w:rPr>
        <w:t xml:space="preserve">UO </w:t>
      </w:r>
      <w:r w:rsidRPr="008E34C2">
        <w:rPr>
          <w:rFonts w:ascii="Melior" w:hAnsi="Melior"/>
        </w:rPr>
        <w:t>Office of Public Records, http://publicrecords.uoregon.edu</w:t>
      </w:r>
      <w:r w:rsidR="00630913" w:rsidRPr="008E34C2">
        <w:rPr>
          <w:rFonts w:ascii="Melior" w:hAnsi="Melior"/>
        </w:rPr>
        <w:t xml:space="preserve">. </w:t>
      </w:r>
      <w:r w:rsidR="00F46501">
        <w:rPr>
          <w:rFonts w:ascii="Melior" w:hAnsi="Melior"/>
        </w:rPr>
        <w:t xml:space="preserve"> UO makes available meeting minutes upon request. However, UO reserves the right to redact any confidential, private, or proprietary information, including faculty records and trade secrets.</w:t>
      </w:r>
    </w:p>
    <w:p w14:paraId="355A1AD0" w14:textId="4A4E6BC3" w:rsidR="00483B15" w:rsidRPr="008E34C2" w:rsidRDefault="0054727D" w:rsidP="0054727D">
      <w:pPr>
        <w:pStyle w:val="Heading1"/>
      </w:pPr>
      <w:r w:rsidRPr="008E34C2">
        <w:t xml:space="preserve">IBC </w:t>
      </w:r>
      <w:r w:rsidR="00A950E0" w:rsidRPr="008E34C2">
        <w:t>Reporting</w:t>
      </w:r>
    </w:p>
    <w:p w14:paraId="4DFCE7CD" w14:textId="559D945D" w:rsidR="002F390B" w:rsidRPr="00E64A72" w:rsidRDefault="002F390B" w:rsidP="00E702DD">
      <w:pPr>
        <w:spacing w:after="120"/>
        <w:ind w:left="720"/>
        <w:rPr>
          <w:rFonts w:ascii="Melior" w:hAnsi="Melior"/>
        </w:rPr>
      </w:pPr>
      <w:r w:rsidRPr="008E34C2">
        <w:rPr>
          <w:rFonts w:ascii="Melior" w:hAnsi="Melior"/>
        </w:rPr>
        <w:t>At least annually, the</w:t>
      </w:r>
      <w:r w:rsidRPr="00E64A72">
        <w:rPr>
          <w:rFonts w:ascii="Melior" w:hAnsi="Melior"/>
        </w:rPr>
        <w:t xml:space="preserve"> IBC shall submit to </w:t>
      </w:r>
      <w:r w:rsidR="00795CE5" w:rsidRPr="00E64A72">
        <w:rPr>
          <w:rFonts w:ascii="Melior" w:hAnsi="Melior"/>
        </w:rPr>
        <w:t xml:space="preserve">the </w:t>
      </w:r>
      <w:r w:rsidRPr="00E64A72">
        <w:rPr>
          <w:rFonts w:ascii="Melior" w:hAnsi="Melior"/>
        </w:rPr>
        <w:t>NIH a current roster of IBC members, noting the chair, along with biographical sketches of all IBC members (</w:t>
      </w:r>
      <w:r w:rsidR="005E12BE" w:rsidRPr="00E64A72">
        <w:rPr>
          <w:rFonts w:ascii="Melior" w:hAnsi="Melior"/>
        </w:rPr>
        <w:t>unless not</w:t>
      </w:r>
      <w:r w:rsidRPr="00E64A72">
        <w:rPr>
          <w:rFonts w:ascii="Melior" w:hAnsi="Melior"/>
        </w:rPr>
        <w:t xml:space="preserve"> significantly modified from the previous year).</w:t>
      </w:r>
    </w:p>
    <w:p w14:paraId="68B3980D" w14:textId="5007B3B7" w:rsidR="00335B14" w:rsidRPr="00E64A72" w:rsidRDefault="00335B14" w:rsidP="00E702DD">
      <w:pPr>
        <w:spacing w:after="120"/>
        <w:ind w:left="720"/>
        <w:rPr>
          <w:rFonts w:ascii="Melior" w:hAnsi="Melior"/>
        </w:rPr>
      </w:pPr>
      <w:r w:rsidRPr="00E64A72">
        <w:rPr>
          <w:rFonts w:ascii="Melior" w:hAnsi="Melior"/>
        </w:rPr>
        <w:t xml:space="preserve">Any problems associated with IBC-registered work, including violations of </w:t>
      </w:r>
      <w:r w:rsidRPr="00E64A72">
        <w:rPr>
          <w:rFonts w:ascii="Melior" w:hAnsi="Melior"/>
          <w:i/>
        </w:rPr>
        <w:t>NIH Guidelines</w:t>
      </w:r>
      <w:r w:rsidRPr="00E64A72">
        <w:rPr>
          <w:rFonts w:ascii="Melior" w:hAnsi="Melior"/>
        </w:rPr>
        <w:t>, accidents, exposures or illnesses associated with a research registration must be reported to the IBC</w:t>
      </w:r>
      <w:r w:rsidR="00526782">
        <w:rPr>
          <w:rFonts w:ascii="Melior" w:hAnsi="Melior"/>
        </w:rPr>
        <w:t xml:space="preserve"> and the, UO Institutional Official</w:t>
      </w:r>
      <w:r w:rsidR="00FC38ED">
        <w:rPr>
          <w:rFonts w:ascii="Melior" w:hAnsi="Melior"/>
        </w:rPr>
        <w:t xml:space="preserve"> and Vice President for Research and Innovation current held by Anshuman “AR” </w:t>
      </w:r>
      <w:proofErr w:type="spellStart"/>
      <w:r w:rsidR="00FC38ED">
        <w:rPr>
          <w:rFonts w:ascii="Melior" w:hAnsi="Melior"/>
        </w:rPr>
        <w:t>Razdan</w:t>
      </w:r>
      <w:proofErr w:type="spellEnd"/>
      <w:r w:rsidR="00526782">
        <w:rPr>
          <w:rFonts w:ascii="Melior" w:hAnsi="Melior"/>
        </w:rPr>
        <w:t>. Amendment of</w:t>
      </w:r>
      <w:r w:rsidRPr="00E64A72">
        <w:rPr>
          <w:rFonts w:ascii="Melior" w:hAnsi="Melior"/>
        </w:rPr>
        <w:t xml:space="preserve"> the registration, re-review of the registration by the IBC, and/or reporting to the NIH </w:t>
      </w:r>
      <w:r w:rsidR="00CC4ADA">
        <w:rPr>
          <w:rFonts w:ascii="Melior" w:hAnsi="Melior"/>
        </w:rPr>
        <w:t>OSP</w:t>
      </w:r>
      <w:r w:rsidR="00450420">
        <w:rPr>
          <w:rFonts w:ascii="Melior" w:hAnsi="Melior"/>
        </w:rPr>
        <w:t xml:space="preserve"> may be required</w:t>
      </w:r>
      <w:r w:rsidRPr="00E64A72">
        <w:rPr>
          <w:rFonts w:ascii="Melior" w:hAnsi="Melior"/>
        </w:rPr>
        <w:t>.</w:t>
      </w:r>
    </w:p>
    <w:p w14:paraId="08F6E038" w14:textId="4BBE3F8B" w:rsidR="002F390B" w:rsidRPr="00E64A72" w:rsidRDefault="002F390B" w:rsidP="00E702DD">
      <w:pPr>
        <w:spacing w:after="120"/>
        <w:ind w:left="720"/>
        <w:rPr>
          <w:rFonts w:ascii="Melior" w:hAnsi="Melior"/>
        </w:rPr>
      </w:pPr>
      <w:r w:rsidRPr="00E64A72">
        <w:rPr>
          <w:rFonts w:ascii="Melior" w:hAnsi="Melior"/>
        </w:rPr>
        <w:t xml:space="preserve">Any significant problems with </w:t>
      </w:r>
      <w:proofErr w:type="spellStart"/>
      <w:r w:rsidRPr="00E64A72">
        <w:rPr>
          <w:rFonts w:ascii="Melior" w:hAnsi="Melior"/>
        </w:rPr>
        <w:t>rsNA</w:t>
      </w:r>
      <w:proofErr w:type="spellEnd"/>
      <w:r w:rsidRPr="00E64A72">
        <w:rPr>
          <w:rFonts w:ascii="Melior" w:hAnsi="Melior"/>
        </w:rPr>
        <w:t xml:space="preserve"> research, significant violations of the </w:t>
      </w:r>
      <w:r w:rsidRPr="00E64A72">
        <w:rPr>
          <w:rFonts w:ascii="Melior" w:hAnsi="Melior"/>
          <w:i/>
        </w:rPr>
        <w:t>NIH Guidelines</w:t>
      </w:r>
      <w:r w:rsidRPr="00E64A72">
        <w:rPr>
          <w:rFonts w:ascii="Melior" w:hAnsi="Melior"/>
        </w:rPr>
        <w:t>, or significant research-related accidents, exposures and illnesses will be reported to NIH within 30 days of the notification of the IBC</w:t>
      </w:r>
      <w:r w:rsidR="00526782">
        <w:rPr>
          <w:rFonts w:ascii="Melior" w:hAnsi="Melior"/>
        </w:rPr>
        <w:t xml:space="preserve"> and IO</w:t>
      </w:r>
      <w:r w:rsidRPr="00E64A72">
        <w:rPr>
          <w:rFonts w:ascii="Melior" w:hAnsi="Melior"/>
        </w:rPr>
        <w:t>. The following are examples of reportable incidents:</w:t>
      </w:r>
    </w:p>
    <w:p w14:paraId="039780E2" w14:textId="77777777" w:rsidR="002F390B" w:rsidRPr="00E64A72" w:rsidRDefault="002F390B" w:rsidP="00E702DD">
      <w:pPr>
        <w:numPr>
          <w:ilvl w:val="0"/>
          <w:numId w:val="22"/>
        </w:numPr>
        <w:spacing w:after="60"/>
        <w:ind w:left="1440"/>
        <w:rPr>
          <w:rFonts w:ascii="Melior" w:hAnsi="Melior"/>
        </w:rPr>
      </w:pPr>
      <w:r w:rsidRPr="00E64A72">
        <w:rPr>
          <w:rFonts w:ascii="Melior" w:hAnsi="Melior"/>
        </w:rPr>
        <w:t>Skin puncture with a needle containing recombinant or synthetic NA</w:t>
      </w:r>
    </w:p>
    <w:p w14:paraId="66381241" w14:textId="289225B3" w:rsidR="002F390B" w:rsidRPr="00E64A72" w:rsidRDefault="002F390B" w:rsidP="00E702DD">
      <w:pPr>
        <w:numPr>
          <w:ilvl w:val="0"/>
          <w:numId w:val="22"/>
        </w:numPr>
        <w:spacing w:after="60"/>
        <w:ind w:left="1440"/>
        <w:rPr>
          <w:rFonts w:ascii="Melior" w:hAnsi="Melior"/>
        </w:rPr>
      </w:pPr>
      <w:r w:rsidRPr="00E64A72">
        <w:rPr>
          <w:rFonts w:ascii="Melior" w:hAnsi="Melior"/>
        </w:rPr>
        <w:t xml:space="preserve">The escape or improper disposition of a transgenic </w:t>
      </w:r>
      <w:r w:rsidR="003B7321">
        <w:rPr>
          <w:rFonts w:ascii="Melior" w:hAnsi="Melior"/>
        </w:rPr>
        <w:t>organism</w:t>
      </w:r>
    </w:p>
    <w:p w14:paraId="10212245" w14:textId="5E462034" w:rsidR="002F390B" w:rsidRPr="00E64A72" w:rsidRDefault="002F390B" w:rsidP="0068465A">
      <w:pPr>
        <w:numPr>
          <w:ilvl w:val="0"/>
          <w:numId w:val="22"/>
        </w:numPr>
        <w:spacing w:after="120"/>
        <w:ind w:left="1440"/>
        <w:rPr>
          <w:rFonts w:ascii="Melior" w:hAnsi="Melior"/>
        </w:rPr>
      </w:pPr>
      <w:r w:rsidRPr="00E64A72">
        <w:rPr>
          <w:rFonts w:ascii="Melior" w:hAnsi="Melior"/>
        </w:rPr>
        <w:t xml:space="preserve">A spill of high-risk </w:t>
      </w:r>
      <w:proofErr w:type="spellStart"/>
      <w:r w:rsidRPr="00E64A72">
        <w:rPr>
          <w:rFonts w:ascii="Melior" w:hAnsi="Melior"/>
        </w:rPr>
        <w:t>rsNA</w:t>
      </w:r>
      <w:proofErr w:type="spellEnd"/>
      <w:r w:rsidRPr="00E64A72">
        <w:rPr>
          <w:rFonts w:ascii="Melior" w:hAnsi="Melior"/>
        </w:rPr>
        <w:t xml:space="preserve"> materials occurring outside of a biosafety cabinet (BSC)</w:t>
      </w:r>
    </w:p>
    <w:p w14:paraId="45112318" w14:textId="156976A4" w:rsidR="00812C37" w:rsidRPr="00E64A72" w:rsidRDefault="002F390B" w:rsidP="00E702DD">
      <w:pPr>
        <w:spacing w:after="120"/>
        <w:ind w:left="720"/>
        <w:rPr>
          <w:rFonts w:ascii="Melior" w:hAnsi="Melior"/>
        </w:rPr>
      </w:pPr>
      <w:r w:rsidRPr="00E64A72">
        <w:rPr>
          <w:rFonts w:ascii="Melior" w:hAnsi="Melior"/>
        </w:rPr>
        <w:t xml:space="preserve">The NIH </w:t>
      </w:r>
      <w:r w:rsidR="00CC4ADA">
        <w:rPr>
          <w:rFonts w:ascii="Melior" w:hAnsi="Melior"/>
        </w:rPr>
        <w:t>OSP</w:t>
      </w:r>
      <w:r w:rsidRPr="00E64A72">
        <w:rPr>
          <w:rFonts w:ascii="Melior" w:hAnsi="Melior"/>
        </w:rPr>
        <w:t xml:space="preserve"> will be consulted if there is uncertainty as to whether reporting is warranted.</w:t>
      </w:r>
      <w:r w:rsidR="00134908" w:rsidRPr="00E64A72">
        <w:rPr>
          <w:rFonts w:ascii="Melior" w:hAnsi="Melior"/>
        </w:rPr>
        <w:t xml:space="preserve"> </w:t>
      </w:r>
    </w:p>
    <w:p w14:paraId="47A63950" w14:textId="7C8CECA7" w:rsidR="00450420" w:rsidRPr="00E64A72" w:rsidRDefault="00450420" w:rsidP="00450420">
      <w:pPr>
        <w:spacing w:after="120"/>
        <w:ind w:left="720"/>
        <w:rPr>
          <w:rFonts w:ascii="Melior" w:hAnsi="Melior"/>
        </w:rPr>
      </w:pPr>
      <w:r w:rsidRPr="00E64A72">
        <w:rPr>
          <w:rFonts w:ascii="Melior" w:hAnsi="Melior"/>
        </w:rPr>
        <w:lastRenderedPageBreak/>
        <w:t xml:space="preserve">The IBC will provide the NIH </w:t>
      </w:r>
      <w:r w:rsidR="009B4869">
        <w:rPr>
          <w:rFonts w:ascii="Melior" w:hAnsi="Melior"/>
        </w:rPr>
        <w:t xml:space="preserve">OSP </w:t>
      </w:r>
      <w:r w:rsidRPr="00E64A72">
        <w:rPr>
          <w:rFonts w:ascii="Melior" w:hAnsi="Melior"/>
        </w:rPr>
        <w:t>with any public comments on IBC actions, along with the IBC</w:t>
      </w:r>
      <w:r>
        <w:rPr>
          <w:rFonts w:ascii="Melior" w:hAnsi="Melior"/>
        </w:rPr>
        <w:t>’s</w:t>
      </w:r>
      <w:r w:rsidRPr="00E64A72">
        <w:rPr>
          <w:rFonts w:ascii="Melior" w:hAnsi="Melior"/>
        </w:rPr>
        <w:t xml:space="preserve"> response to the comments, within 30 days of such public comment.</w:t>
      </w:r>
    </w:p>
    <w:p w14:paraId="313B10A9" w14:textId="4017ED8E" w:rsidR="00483B15" w:rsidRPr="00E64A72" w:rsidRDefault="00197E40" w:rsidP="0054727D">
      <w:pPr>
        <w:pStyle w:val="Heading1"/>
      </w:pPr>
      <w:r w:rsidRPr="00E64A72">
        <w:t xml:space="preserve">Other </w:t>
      </w:r>
      <w:r w:rsidR="007F7885" w:rsidRPr="00E64A72">
        <w:t>Stakeholder Responsibilities</w:t>
      </w:r>
    </w:p>
    <w:p w14:paraId="50FD8491" w14:textId="3D88E8FD" w:rsidR="007F7885" w:rsidRPr="00E64A72" w:rsidRDefault="007F7885" w:rsidP="0054727D">
      <w:pPr>
        <w:pStyle w:val="Heading2"/>
      </w:pPr>
      <w:r w:rsidRPr="00E64A72">
        <w:t>Environmental Health and Safety (EHS), Biological Safety</w:t>
      </w:r>
      <w:r w:rsidR="0054727D">
        <w:t>:</w:t>
      </w:r>
    </w:p>
    <w:p w14:paraId="59B838A1" w14:textId="77777777" w:rsidR="007F7885" w:rsidRPr="00E64A72" w:rsidRDefault="007F7885" w:rsidP="0068465A">
      <w:pPr>
        <w:pStyle w:val="NoSpacing"/>
        <w:numPr>
          <w:ilvl w:val="0"/>
          <w:numId w:val="26"/>
        </w:numPr>
        <w:spacing w:after="60"/>
        <w:ind w:left="1440"/>
        <w:rPr>
          <w:rFonts w:ascii="Melior" w:hAnsi="Melior"/>
        </w:rPr>
      </w:pPr>
      <w:r w:rsidRPr="00E64A72">
        <w:rPr>
          <w:rFonts w:ascii="Melior" w:hAnsi="Melior"/>
        </w:rPr>
        <w:t xml:space="preserve">Keeps a database of UO IBC registered and approved </w:t>
      </w:r>
      <w:r w:rsidR="00CD5EDF" w:rsidRPr="00E64A72">
        <w:rPr>
          <w:rFonts w:ascii="Melior" w:hAnsi="Melior"/>
        </w:rPr>
        <w:t>research registration</w:t>
      </w:r>
      <w:r w:rsidRPr="00E64A72">
        <w:rPr>
          <w:rFonts w:ascii="Melior" w:hAnsi="Melior"/>
        </w:rPr>
        <w:t>s</w:t>
      </w:r>
    </w:p>
    <w:p w14:paraId="0B614FDC" w14:textId="77777777" w:rsidR="007F7885" w:rsidRPr="00E64A72" w:rsidRDefault="007F7885" w:rsidP="0068465A">
      <w:pPr>
        <w:pStyle w:val="NoSpacing"/>
        <w:numPr>
          <w:ilvl w:val="0"/>
          <w:numId w:val="26"/>
        </w:numPr>
        <w:spacing w:after="60"/>
        <w:ind w:left="1440"/>
        <w:rPr>
          <w:rFonts w:ascii="Melior" w:hAnsi="Melior"/>
        </w:rPr>
      </w:pPr>
      <w:r w:rsidRPr="00E64A72">
        <w:rPr>
          <w:rFonts w:ascii="Melior" w:hAnsi="Melior"/>
        </w:rPr>
        <w:t xml:space="preserve">Receives </w:t>
      </w:r>
      <w:r w:rsidR="00CD5EDF" w:rsidRPr="00E64A72">
        <w:rPr>
          <w:rFonts w:ascii="Melior" w:hAnsi="Melior"/>
        </w:rPr>
        <w:t>registration forms</w:t>
      </w:r>
      <w:r w:rsidRPr="00E64A72">
        <w:rPr>
          <w:rFonts w:ascii="Melior" w:hAnsi="Melior"/>
        </w:rPr>
        <w:t xml:space="preserve"> and prepares them for IBC review and/or approval</w:t>
      </w:r>
    </w:p>
    <w:p w14:paraId="2F415675" w14:textId="77777777" w:rsidR="007F7885" w:rsidRPr="00E64A72" w:rsidRDefault="007F7885" w:rsidP="0068465A">
      <w:pPr>
        <w:pStyle w:val="NoSpacing"/>
        <w:numPr>
          <w:ilvl w:val="0"/>
          <w:numId w:val="26"/>
        </w:numPr>
        <w:spacing w:after="60"/>
        <w:ind w:left="1440"/>
        <w:rPr>
          <w:rFonts w:ascii="Melior" w:hAnsi="Melior"/>
        </w:rPr>
      </w:pPr>
      <w:r w:rsidRPr="00E64A72">
        <w:rPr>
          <w:rFonts w:ascii="Melior" w:hAnsi="Melior"/>
        </w:rPr>
        <w:t xml:space="preserve">Ensures that all laboratories submitting IBC registrations for approval have been audited for compliance with the proper safety levels, and conducts annual laboratory audits to ensure compliance with the </w:t>
      </w:r>
      <w:r w:rsidRPr="00E64A72">
        <w:rPr>
          <w:rFonts w:ascii="Melior" w:hAnsi="Melior"/>
          <w:i/>
        </w:rPr>
        <w:t>NIH Guidelines</w:t>
      </w:r>
    </w:p>
    <w:p w14:paraId="789E8E6F" w14:textId="77777777" w:rsidR="007F7885" w:rsidRPr="00E64A72" w:rsidRDefault="007F7885" w:rsidP="0068465A">
      <w:pPr>
        <w:pStyle w:val="NoSpacing"/>
        <w:numPr>
          <w:ilvl w:val="0"/>
          <w:numId w:val="26"/>
        </w:numPr>
        <w:spacing w:after="60"/>
        <w:ind w:left="1440"/>
        <w:rPr>
          <w:rFonts w:ascii="Melior" w:hAnsi="Melior"/>
        </w:rPr>
      </w:pPr>
      <w:r w:rsidRPr="00E64A72">
        <w:rPr>
          <w:rFonts w:ascii="Melior" w:hAnsi="Melior"/>
        </w:rPr>
        <w:t>Keeps records of IBC registrations, any correspondence with PIs and the IBC members, and minutes of IBC meetings.</w:t>
      </w:r>
    </w:p>
    <w:p w14:paraId="75CB208C" w14:textId="2CC0CAD5" w:rsidR="007F7885" w:rsidRPr="00E64A72" w:rsidRDefault="007F7885" w:rsidP="0068465A">
      <w:pPr>
        <w:pStyle w:val="NoSpacing"/>
        <w:numPr>
          <w:ilvl w:val="0"/>
          <w:numId w:val="26"/>
        </w:numPr>
        <w:spacing w:after="60"/>
        <w:ind w:left="1440"/>
        <w:rPr>
          <w:rFonts w:ascii="Melior" w:hAnsi="Melior"/>
        </w:rPr>
      </w:pPr>
      <w:r w:rsidRPr="00E64A72">
        <w:rPr>
          <w:rFonts w:ascii="Melior" w:hAnsi="Melior"/>
        </w:rPr>
        <w:t xml:space="preserve">Annually reviews </w:t>
      </w:r>
      <w:r w:rsidR="00CD5EDF" w:rsidRPr="00E64A72">
        <w:rPr>
          <w:rFonts w:ascii="Melior" w:hAnsi="Melior"/>
        </w:rPr>
        <w:t>research registrations</w:t>
      </w:r>
      <w:r w:rsidRPr="00E64A72">
        <w:rPr>
          <w:rFonts w:ascii="Melior" w:hAnsi="Melior"/>
        </w:rPr>
        <w:t xml:space="preserve"> with the </w:t>
      </w:r>
      <w:r w:rsidR="000B7E32" w:rsidRPr="00E64A72">
        <w:rPr>
          <w:rFonts w:ascii="Melior" w:hAnsi="Melior"/>
        </w:rPr>
        <w:t>PI and incorporates any updates</w:t>
      </w:r>
    </w:p>
    <w:p w14:paraId="0CAC8E2D" w14:textId="77777777" w:rsidR="007F7885" w:rsidRPr="00E64A72" w:rsidRDefault="007F7885" w:rsidP="0068465A">
      <w:pPr>
        <w:pStyle w:val="NoSpacing"/>
        <w:numPr>
          <w:ilvl w:val="0"/>
          <w:numId w:val="26"/>
        </w:numPr>
        <w:spacing w:after="120"/>
        <w:ind w:left="1440"/>
        <w:rPr>
          <w:rFonts w:ascii="Melior" w:hAnsi="Melior"/>
        </w:rPr>
      </w:pPr>
      <w:r w:rsidRPr="00E64A72">
        <w:rPr>
          <w:rFonts w:ascii="Melior" w:hAnsi="Melior"/>
        </w:rPr>
        <w:t>Communicates decisions of the IBC with the PIs</w:t>
      </w:r>
    </w:p>
    <w:p w14:paraId="2178D71D" w14:textId="17EFABA5" w:rsidR="007F7885" w:rsidRPr="00E64A72" w:rsidRDefault="007F7885" w:rsidP="0054727D">
      <w:pPr>
        <w:pStyle w:val="Heading2"/>
      </w:pPr>
      <w:r w:rsidRPr="00E64A72">
        <w:t>Principal Investigator</w:t>
      </w:r>
      <w:r w:rsidR="0068465A">
        <w:t>s</w:t>
      </w:r>
      <w:r w:rsidRPr="00E64A72">
        <w:t>:</w:t>
      </w:r>
    </w:p>
    <w:p w14:paraId="64DDF37E" w14:textId="77777777" w:rsidR="00541F8C" w:rsidRPr="00E64A72" w:rsidRDefault="007F7885" w:rsidP="00E702DD">
      <w:pPr>
        <w:pStyle w:val="ListParagraph"/>
        <w:numPr>
          <w:ilvl w:val="0"/>
          <w:numId w:val="28"/>
        </w:numPr>
        <w:spacing w:after="60"/>
        <w:ind w:left="1440"/>
        <w:rPr>
          <w:rFonts w:ascii="Melior" w:hAnsi="Melior"/>
        </w:rPr>
      </w:pPr>
      <w:r w:rsidRPr="00E64A72">
        <w:rPr>
          <w:rFonts w:ascii="Melior" w:hAnsi="Melior" w:cs="Arial"/>
        </w:rPr>
        <w:t xml:space="preserve">Makes an initial determination of the required levels of physical and biological containment, and practices and procedures in accordance with the </w:t>
      </w:r>
      <w:r w:rsidRPr="00E64A72">
        <w:rPr>
          <w:rFonts w:ascii="Melior" w:hAnsi="Melior" w:cs="Arial"/>
          <w:i/>
        </w:rPr>
        <w:t>NIH Guidelines</w:t>
      </w:r>
      <w:r w:rsidRPr="00E64A72">
        <w:rPr>
          <w:rFonts w:ascii="Melior" w:hAnsi="Melior" w:cs="Arial"/>
        </w:rPr>
        <w:t xml:space="preserve">; determines </w:t>
      </w:r>
      <w:r w:rsidRPr="00E64A72">
        <w:rPr>
          <w:rFonts w:ascii="Melior" w:hAnsi="Melior"/>
        </w:rPr>
        <w:t xml:space="preserve">applicable section(s) of the </w:t>
      </w:r>
      <w:r w:rsidRPr="00E64A72">
        <w:rPr>
          <w:rFonts w:ascii="Melior" w:hAnsi="Melior"/>
          <w:i/>
        </w:rPr>
        <w:t>NIH Guidelines</w:t>
      </w:r>
    </w:p>
    <w:p w14:paraId="31D32648" w14:textId="77777777" w:rsidR="007F7885" w:rsidRPr="00E64A72" w:rsidRDefault="007F7885" w:rsidP="00E702DD">
      <w:pPr>
        <w:pStyle w:val="NoSpacing"/>
        <w:numPr>
          <w:ilvl w:val="0"/>
          <w:numId w:val="28"/>
        </w:numPr>
        <w:spacing w:after="60"/>
        <w:ind w:left="1440"/>
        <w:rPr>
          <w:rFonts w:ascii="Melior" w:hAnsi="Melior" w:cs="Arial"/>
        </w:rPr>
      </w:pPr>
      <w:r w:rsidRPr="00E64A72">
        <w:rPr>
          <w:rFonts w:ascii="Melior" w:hAnsi="Melior" w:cs="Arial"/>
        </w:rPr>
        <w:t>Submits the appropriate paperwork for the proposed work</w:t>
      </w:r>
      <w:r w:rsidRPr="00E64A72">
        <w:rPr>
          <w:rFonts w:ascii="Melior" w:hAnsi="Melior"/>
        </w:rPr>
        <w:t>; initiates modifications, amendments, resubmissions, or notifications of discontinued work</w:t>
      </w:r>
    </w:p>
    <w:p w14:paraId="0C705527" w14:textId="77777777" w:rsidR="007F7885" w:rsidRPr="00E64A72" w:rsidRDefault="007F7885" w:rsidP="00E702DD">
      <w:pPr>
        <w:pStyle w:val="ListParagraph"/>
        <w:numPr>
          <w:ilvl w:val="0"/>
          <w:numId w:val="28"/>
        </w:numPr>
        <w:spacing w:after="60"/>
        <w:ind w:left="1440"/>
        <w:rPr>
          <w:rFonts w:ascii="Melior" w:hAnsi="Melior" w:cs="Arial"/>
        </w:rPr>
      </w:pPr>
      <w:r w:rsidRPr="00E64A72">
        <w:rPr>
          <w:rFonts w:ascii="Melior" w:hAnsi="Melior" w:cs="Arial"/>
        </w:rPr>
        <w:t xml:space="preserve">Is responsible for adherence to all requirements of the </w:t>
      </w:r>
      <w:r w:rsidRPr="00E64A72">
        <w:rPr>
          <w:rFonts w:ascii="Melior" w:hAnsi="Melior" w:cs="Arial"/>
          <w:i/>
        </w:rPr>
        <w:t>NIH Guidelines</w:t>
      </w:r>
      <w:r w:rsidRPr="00E64A72">
        <w:rPr>
          <w:rFonts w:ascii="Melior" w:hAnsi="Melior" w:cs="Arial"/>
        </w:rPr>
        <w:t>, including required safety practices</w:t>
      </w:r>
    </w:p>
    <w:p w14:paraId="4C7F6719" w14:textId="77777777" w:rsidR="007F7885" w:rsidRPr="00E64A72" w:rsidRDefault="00197DF3" w:rsidP="00E702DD">
      <w:pPr>
        <w:pStyle w:val="ListParagraph"/>
        <w:numPr>
          <w:ilvl w:val="0"/>
          <w:numId w:val="28"/>
        </w:numPr>
        <w:spacing w:after="60"/>
        <w:ind w:left="1440"/>
        <w:rPr>
          <w:rFonts w:ascii="Melior" w:hAnsi="Melior" w:cs="Arial"/>
        </w:rPr>
      </w:pPr>
      <w:r w:rsidRPr="00E64A72">
        <w:rPr>
          <w:rFonts w:ascii="Melior" w:hAnsi="Melior" w:cs="Arial"/>
        </w:rPr>
        <w:t xml:space="preserve">Ensures </w:t>
      </w:r>
      <w:r w:rsidR="007F7885" w:rsidRPr="00E64A72">
        <w:rPr>
          <w:rFonts w:ascii="Melior" w:hAnsi="Melior" w:cs="Arial"/>
        </w:rPr>
        <w:t>all laboratory workers</w:t>
      </w:r>
      <w:r w:rsidRPr="00E64A72">
        <w:rPr>
          <w:rFonts w:ascii="Melior" w:hAnsi="Melior" w:cs="Arial"/>
        </w:rPr>
        <w:t xml:space="preserve"> are trained</w:t>
      </w:r>
      <w:r w:rsidR="007F7885" w:rsidRPr="00E64A72">
        <w:rPr>
          <w:rFonts w:ascii="Melior" w:hAnsi="Melior" w:cs="Arial"/>
        </w:rPr>
        <w:t xml:space="preserve"> regarding the potential hazards of the work and precautions to be taken, and/or facilitates training with EHS </w:t>
      </w:r>
    </w:p>
    <w:p w14:paraId="4EA3112F" w14:textId="77777777" w:rsidR="007F7885" w:rsidRPr="00E64A72" w:rsidRDefault="007F7885" w:rsidP="00E702DD">
      <w:pPr>
        <w:pStyle w:val="ListParagraph"/>
        <w:numPr>
          <w:ilvl w:val="0"/>
          <w:numId w:val="28"/>
        </w:numPr>
        <w:spacing w:after="60"/>
        <w:ind w:left="1440"/>
        <w:rPr>
          <w:rFonts w:ascii="Melior" w:hAnsi="Melior" w:cs="Arial"/>
        </w:rPr>
      </w:pPr>
      <w:r w:rsidRPr="00E64A72">
        <w:rPr>
          <w:rFonts w:ascii="Melior" w:hAnsi="Melior"/>
        </w:rPr>
        <w:t>R</w:t>
      </w:r>
      <w:r w:rsidRPr="00E64A72">
        <w:rPr>
          <w:rFonts w:ascii="Melior" w:hAnsi="Melior" w:cs="Arial"/>
        </w:rPr>
        <w:t>eports any significant problems or illnesses pertaining to the operation and implementation of containment, or any adverse reactions occurring during clinical studies to EHS for review by the IBC</w:t>
      </w:r>
    </w:p>
    <w:p w14:paraId="60D70F84" w14:textId="77777777" w:rsidR="007F7885" w:rsidRPr="00E64A72" w:rsidRDefault="007F7885" w:rsidP="00E702DD">
      <w:pPr>
        <w:pStyle w:val="ListParagraph"/>
        <w:numPr>
          <w:ilvl w:val="0"/>
          <w:numId w:val="28"/>
        </w:numPr>
        <w:spacing w:after="60"/>
        <w:ind w:left="1440"/>
        <w:rPr>
          <w:rFonts w:ascii="Melior" w:hAnsi="Melior" w:cs="Arial"/>
        </w:rPr>
      </w:pPr>
      <w:r w:rsidRPr="00E64A72">
        <w:rPr>
          <w:rFonts w:ascii="Melior" w:hAnsi="Melior" w:cs="Arial"/>
        </w:rPr>
        <w:t xml:space="preserve">Ensures that all lab workers experiencing occupational exposures to </w:t>
      </w:r>
      <w:proofErr w:type="spellStart"/>
      <w:r w:rsidRPr="00E64A72">
        <w:rPr>
          <w:rFonts w:ascii="Melior" w:hAnsi="Melior" w:cs="Arial"/>
        </w:rPr>
        <w:t>rsNA</w:t>
      </w:r>
      <w:proofErr w:type="spellEnd"/>
      <w:r w:rsidRPr="00E64A72">
        <w:rPr>
          <w:rFonts w:ascii="Melior" w:hAnsi="Melior" w:cs="Arial"/>
        </w:rPr>
        <w:t xml:space="preserve"> material will report such exposures to EHS and the IBC. This report should be in writing and include: who was involved, how the event occurred, what was the </w:t>
      </w:r>
      <w:proofErr w:type="spellStart"/>
      <w:r w:rsidRPr="00E64A72">
        <w:rPr>
          <w:rFonts w:ascii="Melior" w:hAnsi="Melior" w:cs="Arial"/>
        </w:rPr>
        <w:t>rsNA</w:t>
      </w:r>
      <w:proofErr w:type="spellEnd"/>
      <w:r w:rsidRPr="00E64A72">
        <w:rPr>
          <w:rFonts w:ascii="Melior" w:hAnsi="Melior" w:cs="Arial"/>
        </w:rPr>
        <w:t xml:space="preserve"> material, what was done to mitigate, treat, or clean up the </w:t>
      </w:r>
      <w:proofErr w:type="spellStart"/>
      <w:r w:rsidRPr="00E64A72">
        <w:rPr>
          <w:rFonts w:ascii="Melior" w:hAnsi="Melior" w:cs="Arial"/>
        </w:rPr>
        <w:t>rsNA</w:t>
      </w:r>
      <w:proofErr w:type="spellEnd"/>
    </w:p>
    <w:p w14:paraId="357B13D2" w14:textId="77777777" w:rsidR="007F7885" w:rsidRPr="00E64A72" w:rsidRDefault="00155B26" w:rsidP="00E702DD">
      <w:pPr>
        <w:pStyle w:val="ListParagraph"/>
        <w:numPr>
          <w:ilvl w:val="0"/>
          <w:numId w:val="28"/>
        </w:numPr>
        <w:spacing w:after="60"/>
        <w:ind w:left="1440"/>
        <w:rPr>
          <w:rFonts w:ascii="Melior" w:hAnsi="Melior" w:cs="Arial"/>
        </w:rPr>
      </w:pPr>
      <w:r w:rsidRPr="00E64A72">
        <w:rPr>
          <w:rFonts w:ascii="Melior" w:hAnsi="Melior" w:cs="Arial"/>
        </w:rPr>
        <w:t>Complies with applicable shipping and permitting requirements</w:t>
      </w:r>
    </w:p>
    <w:p w14:paraId="4DB42319" w14:textId="52865376" w:rsidR="007F7885" w:rsidRDefault="00E80205" w:rsidP="00E702DD">
      <w:pPr>
        <w:pStyle w:val="ListParagraph"/>
        <w:numPr>
          <w:ilvl w:val="0"/>
          <w:numId w:val="28"/>
        </w:numPr>
        <w:spacing w:after="60"/>
        <w:ind w:left="1440"/>
        <w:rPr>
          <w:rFonts w:ascii="Melior" w:hAnsi="Melior" w:cs="Arial"/>
        </w:rPr>
      </w:pPr>
      <w:r>
        <w:rPr>
          <w:rFonts w:ascii="Melior" w:hAnsi="Melior" w:cs="Arial"/>
        </w:rPr>
        <w:t>E</w:t>
      </w:r>
      <w:r w:rsidR="007F7885" w:rsidRPr="00E64A72">
        <w:rPr>
          <w:rFonts w:ascii="Melior" w:hAnsi="Melior" w:cs="Arial"/>
        </w:rPr>
        <w:t xml:space="preserve">nsures that laboratory workers who work with animals involved in the work participate in the UO </w:t>
      </w:r>
      <w:r w:rsidR="009B4869">
        <w:rPr>
          <w:rFonts w:ascii="Melior" w:hAnsi="Melior" w:cs="Arial"/>
        </w:rPr>
        <w:t>Animal Occupational Health and Safety Program</w:t>
      </w:r>
    </w:p>
    <w:p w14:paraId="7A53477A" w14:textId="615867D6" w:rsidR="00E80205" w:rsidRPr="00E64A72" w:rsidRDefault="00E80205" w:rsidP="00E80205">
      <w:pPr>
        <w:pStyle w:val="NoSpacing"/>
        <w:numPr>
          <w:ilvl w:val="0"/>
          <w:numId w:val="28"/>
        </w:numPr>
        <w:spacing w:after="60"/>
        <w:ind w:left="1440"/>
        <w:rPr>
          <w:rFonts w:ascii="Melior" w:hAnsi="Melior"/>
        </w:rPr>
      </w:pPr>
      <w:r>
        <w:rPr>
          <w:rFonts w:ascii="Melior" w:hAnsi="Melior"/>
        </w:rPr>
        <w:t>Ensures m</w:t>
      </w:r>
      <w:r w:rsidRPr="00E64A72">
        <w:rPr>
          <w:rFonts w:ascii="Melior" w:hAnsi="Melior"/>
        </w:rPr>
        <w:t>edical surveillance recommendations or requirements are described in each lab’s Standard Operating Procedures (SOPs), if needed</w:t>
      </w:r>
    </w:p>
    <w:p w14:paraId="064428EF" w14:textId="77777777" w:rsidR="007F7885" w:rsidRPr="00E64A72" w:rsidRDefault="007F7885" w:rsidP="0054727D">
      <w:pPr>
        <w:pStyle w:val="Heading2"/>
      </w:pPr>
      <w:r w:rsidRPr="00E64A72">
        <w:t>Employee Occupational Health Program:</w:t>
      </w:r>
    </w:p>
    <w:p w14:paraId="435BE328" w14:textId="7C181471" w:rsidR="007F7885" w:rsidRDefault="00E80205" w:rsidP="00E702DD">
      <w:pPr>
        <w:pStyle w:val="NoSpacing"/>
        <w:numPr>
          <w:ilvl w:val="0"/>
          <w:numId w:val="29"/>
        </w:numPr>
        <w:spacing w:after="60"/>
        <w:ind w:left="1440"/>
        <w:rPr>
          <w:rFonts w:ascii="Melior" w:hAnsi="Melior"/>
        </w:rPr>
      </w:pPr>
      <w:r>
        <w:rPr>
          <w:rFonts w:ascii="Melior" w:hAnsi="Melior"/>
        </w:rPr>
        <w:t>Ensures a risk assessment is performed based on specific hazards associated with the research, including input from the BSO, PI, and healthcare professionals specializing in infectious diseases or occupational health, as appropriate</w:t>
      </w:r>
    </w:p>
    <w:p w14:paraId="42D533ED" w14:textId="74E11A99" w:rsidR="00E80205" w:rsidRDefault="00E80205" w:rsidP="00E702DD">
      <w:pPr>
        <w:pStyle w:val="NoSpacing"/>
        <w:numPr>
          <w:ilvl w:val="0"/>
          <w:numId w:val="29"/>
        </w:numPr>
        <w:spacing w:after="60"/>
        <w:ind w:left="1440"/>
        <w:rPr>
          <w:rFonts w:ascii="Melior" w:hAnsi="Melior"/>
        </w:rPr>
      </w:pPr>
      <w:r>
        <w:rPr>
          <w:rFonts w:ascii="Melior" w:hAnsi="Melior"/>
        </w:rPr>
        <w:lastRenderedPageBreak/>
        <w:t>Determines appropriate occupational health requirements (e.g., vaccinations) and recommendations, and ensures that these are communicated to the PI and laboratory workers.</w:t>
      </w:r>
    </w:p>
    <w:p w14:paraId="7DAA59E5" w14:textId="578D9970" w:rsidR="00C635A0" w:rsidRDefault="00C635A0" w:rsidP="00E702DD">
      <w:pPr>
        <w:pStyle w:val="NoSpacing"/>
        <w:numPr>
          <w:ilvl w:val="0"/>
          <w:numId w:val="29"/>
        </w:numPr>
        <w:spacing w:after="60"/>
        <w:ind w:left="1440"/>
        <w:rPr>
          <w:rFonts w:ascii="Melior" w:hAnsi="Melior"/>
        </w:rPr>
      </w:pPr>
      <w:r>
        <w:rPr>
          <w:rFonts w:ascii="Melior" w:hAnsi="Melior"/>
        </w:rPr>
        <w:t>Provides hazard awareness and exposure prevention training as necessary</w:t>
      </w:r>
    </w:p>
    <w:p w14:paraId="4D4B850C" w14:textId="04CBC2C8" w:rsidR="00E80205" w:rsidRDefault="00E80205" w:rsidP="00E702DD">
      <w:pPr>
        <w:pStyle w:val="NoSpacing"/>
        <w:numPr>
          <w:ilvl w:val="0"/>
          <w:numId w:val="29"/>
        </w:numPr>
        <w:spacing w:after="60"/>
        <w:ind w:left="1440"/>
        <w:rPr>
          <w:rFonts w:ascii="Melior" w:hAnsi="Melior"/>
        </w:rPr>
      </w:pPr>
      <w:r>
        <w:rPr>
          <w:rFonts w:ascii="Melior" w:hAnsi="Melior"/>
        </w:rPr>
        <w:t>Coordinates medical services</w:t>
      </w:r>
      <w:r w:rsidR="00C635A0">
        <w:rPr>
          <w:rFonts w:ascii="Melior" w:hAnsi="Melior"/>
        </w:rPr>
        <w:t xml:space="preserve"> associated with </w:t>
      </w:r>
      <w:proofErr w:type="spellStart"/>
      <w:r w:rsidR="00C635A0">
        <w:rPr>
          <w:rFonts w:ascii="Melior" w:hAnsi="Melior"/>
        </w:rPr>
        <w:t>rsNA</w:t>
      </w:r>
      <w:proofErr w:type="spellEnd"/>
      <w:r w:rsidR="00C635A0">
        <w:rPr>
          <w:rFonts w:ascii="Melior" w:hAnsi="Melior"/>
        </w:rPr>
        <w:t xml:space="preserve"> work</w:t>
      </w:r>
      <w:r>
        <w:rPr>
          <w:rFonts w:ascii="Melior" w:hAnsi="Melior"/>
        </w:rPr>
        <w:t xml:space="preserve"> </w:t>
      </w:r>
      <w:r w:rsidR="00C635A0">
        <w:rPr>
          <w:rFonts w:ascii="Melior" w:hAnsi="Melior"/>
        </w:rPr>
        <w:t xml:space="preserve">(evaluation, prophylaxis, and incident response) </w:t>
      </w:r>
      <w:r w:rsidR="00AF127E">
        <w:rPr>
          <w:rFonts w:ascii="Melior" w:hAnsi="Melior"/>
        </w:rPr>
        <w:t>for laboratory workers</w:t>
      </w:r>
    </w:p>
    <w:p w14:paraId="7AC656A4" w14:textId="6E444DA1" w:rsidR="00E80205" w:rsidRPr="00E64A72" w:rsidRDefault="00C635A0" w:rsidP="00E702DD">
      <w:pPr>
        <w:pStyle w:val="NoSpacing"/>
        <w:numPr>
          <w:ilvl w:val="0"/>
          <w:numId w:val="29"/>
        </w:numPr>
        <w:spacing w:after="60"/>
        <w:ind w:left="1440"/>
        <w:rPr>
          <w:rFonts w:ascii="Melior" w:hAnsi="Melior"/>
        </w:rPr>
      </w:pPr>
      <w:r>
        <w:rPr>
          <w:rFonts w:ascii="Melior" w:hAnsi="Melior"/>
        </w:rPr>
        <w:t>Maintains procedures for voluntary reporting of immunocompromising conditions</w:t>
      </w:r>
    </w:p>
    <w:p w14:paraId="37263E23" w14:textId="4D4077A6" w:rsidR="00B66A66" w:rsidRPr="00E64A72" w:rsidRDefault="00C635A0" w:rsidP="00E702DD">
      <w:pPr>
        <w:pStyle w:val="NoSpacing"/>
        <w:numPr>
          <w:ilvl w:val="0"/>
          <w:numId w:val="29"/>
        </w:numPr>
        <w:spacing w:after="60"/>
        <w:ind w:left="1440"/>
        <w:rPr>
          <w:rFonts w:ascii="Melior" w:hAnsi="Melior"/>
        </w:rPr>
      </w:pPr>
      <w:r>
        <w:rPr>
          <w:rFonts w:ascii="Melior" w:hAnsi="Melior"/>
        </w:rPr>
        <w:t>Reports o</w:t>
      </w:r>
      <w:r w:rsidR="007F7885" w:rsidRPr="00E64A72">
        <w:rPr>
          <w:rFonts w:ascii="Melior" w:hAnsi="Melior"/>
        </w:rPr>
        <w:t xml:space="preserve">ccupational exposures to </w:t>
      </w:r>
      <w:proofErr w:type="spellStart"/>
      <w:r w:rsidR="007F7885" w:rsidRPr="00E64A72">
        <w:rPr>
          <w:rFonts w:ascii="Melior" w:hAnsi="Melior"/>
        </w:rPr>
        <w:t>rsNA</w:t>
      </w:r>
      <w:proofErr w:type="spellEnd"/>
      <w:r w:rsidR="007F7885" w:rsidRPr="00E64A72">
        <w:rPr>
          <w:rFonts w:ascii="Melior" w:hAnsi="Melior"/>
        </w:rPr>
        <w:t xml:space="preserve"> material to </w:t>
      </w:r>
      <w:r>
        <w:rPr>
          <w:rFonts w:ascii="Melior" w:hAnsi="Melior"/>
        </w:rPr>
        <w:t>the BSO</w:t>
      </w:r>
      <w:r w:rsidR="007F7885" w:rsidRPr="00E64A72">
        <w:rPr>
          <w:rFonts w:ascii="Melior" w:hAnsi="Melior"/>
        </w:rPr>
        <w:t xml:space="preserve">, and subsequently, to the NIH </w:t>
      </w:r>
      <w:r w:rsidR="00CC4ADA">
        <w:rPr>
          <w:rFonts w:ascii="Melior" w:hAnsi="Melior"/>
        </w:rPr>
        <w:t>OSP</w:t>
      </w:r>
      <w:r w:rsidR="000B7E32" w:rsidRPr="00E64A72">
        <w:rPr>
          <w:rFonts w:ascii="Melior" w:hAnsi="Melior"/>
        </w:rPr>
        <w:t xml:space="preserve"> if applicable</w:t>
      </w:r>
    </w:p>
    <w:sectPr w:rsidR="00B66A66" w:rsidRPr="00E64A72" w:rsidSect="006E63AA">
      <w:footerReference w:type="default" r:id="rId12"/>
      <w:headerReference w:type="first" r:id="rId13"/>
      <w:footerReference w:type="first" r:id="rId14"/>
      <w:type w:val="continuous"/>
      <w:pgSz w:w="12240" w:h="15840" w:code="1"/>
      <w:pgMar w:top="1440" w:right="1440" w:bottom="1080" w:left="1440" w:header="720" w:footer="720" w:gutter="0"/>
      <w:paperSrc w:first="4" w:other="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4412D" w14:textId="77777777" w:rsidR="000F7959" w:rsidRDefault="000F7959" w:rsidP="00C267D7">
      <w:r>
        <w:separator/>
      </w:r>
    </w:p>
  </w:endnote>
  <w:endnote w:type="continuationSeparator" w:id="0">
    <w:p w14:paraId="0226AFF0" w14:textId="77777777" w:rsidR="000F7959" w:rsidRDefault="000F7959" w:rsidP="00C2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lior">
    <w:altName w:val="Times New Roman"/>
    <w:panose1 w:val="02000603020000020003"/>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kzidenz-Grotesk BQ">
    <w:panose1 w:val="02000303000000000000"/>
    <w:charset w:val="00"/>
    <w:family w:val="modern"/>
    <w:notTrueType/>
    <w:pitch w:val="variable"/>
    <w:sig w:usb0="A00000AF" w:usb1="0000000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rPr>
      <w:id w:val="-186221284"/>
      <w:docPartObj>
        <w:docPartGallery w:val="Page Numbers (Bottom of Page)"/>
        <w:docPartUnique/>
      </w:docPartObj>
    </w:sdtPr>
    <w:sdtEndPr/>
    <w:sdtContent>
      <w:sdt>
        <w:sdtPr>
          <w:rPr>
            <w:rFonts w:asciiTheme="majorHAnsi" w:hAnsiTheme="majorHAnsi"/>
          </w:rPr>
          <w:id w:val="-430044078"/>
          <w:docPartObj>
            <w:docPartGallery w:val="Page Numbers (Top of Page)"/>
            <w:docPartUnique/>
          </w:docPartObj>
        </w:sdtPr>
        <w:sdtEndPr/>
        <w:sdtContent>
          <w:p w14:paraId="7B76E424" w14:textId="308F160B" w:rsidR="00BD0564" w:rsidRPr="009A5A0E" w:rsidRDefault="00BD0564" w:rsidP="00BD0564">
            <w:pPr>
              <w:pStyle w:val="Footer"/>
              <w:jc w:val="right"/>
              <w:rPr>
                <w:rFonts w:asciiTheme="majorHAnsi" w:hAnsiTheme="majorHAnsi"/>
              </w:rPr>
            </w:pPr>
            <w:r w:rsidRPr="009A5A0E">
              <w:rPr>
                <w:rFonts w:asciiTheme="majorHAnsi" w:hAnsiTheme="majorHAnsi"/>
              </w:rPr>
              <w:t xml:space="preserve">Page </w:t>
            </w:r>
            <w:r w:rsidRPr="009A5A0E">
              <w:rPr>
                <w:rFonts w:asciiTheme="majorHAnsi" w:hAnsiTheme="majorHAnsi"/>
                <w:b/>
                <w:bCs/>
              </w:rPr>
              <w:fldChar w:fldCharType="begin"/>
            </w:r>
            <w:r w:rsidRPr="009A5A0E">
              <w:rPr>
                <w:rFonts w:asciiTheme="majorHAnsi" w:hAnsiTheme="majorHAnsi"/>
                <w:b/>
                <w:bCs/>
              </w:rPr>
              <w:instrText xml:space="preserve"> PAGE </w:instrText>
            </w:r>
            <w:r w:rsidRPr="009A5A0E">
              <w:rPr>
                <w:rFonts w:asciiTheme="majorHAnsi" w:hAnsiTheme="majorHAnsi"/>
                <w:b/>
                <w:bCs/>
              </w:rPr>
              <w:fldChar w:fldCharType="separate"/>
            </w:r>
            <w:r w:rsidR="006E63AA">
              <w:rPr>
                <w:rFonts w:asciiTheme="majorHAnsi" w:hAnsiTheme="majorHAnsi"/>
                <w:b/>
                <w:bCs/>
                <w:noProof/>
              </w:rPr>
              <w:t>5</w:t>
            </w:r>
            <w:r w:rsidRPr="009A5A0E">
              <w:rPr>
                <w:rFonts w:asciiTheme="majorHAnsi" w:hAnsiTheme="majorHAnsi"/>
                <w:b/>
                <w:bCs/>
              </w:rPr>
              <w:fldChar w:fldCharType="end"/>
            </w:r>
            <w:r w:rsidRPr="009A5A0E">
              <w:rPr>
                <w:rFonts w:asciiTheme="majorHAnsi" w:hAnsiTheme="majorHAnsi"/>
              </w:rPr>
              <w:t xml:space="preserve"> of </w:t>
            </w:r>
            <w:r w:rsidRPr="009A5A0E">
              <w:rPr>
                <w:rFonts w:asciiTheme="majorHAnsi" w:hAnsiTheme="majorHAnsi"/>
                <w:b/>
                <w:bCs/>
              </w:rPr>
              <w:fldChar w:fldCharType="begin"/>
            </w:r>
            <w:r w:rsidRPr="009A5A0E">
              <w:rPr>
                <w:rFonts w:asciiTheme="majorHAnsi" w:hAnsiTheme="majorHAnsi"/>
                <w:b/>
                <w:bCs/>
              </w:rPr>
              <w:instrText xml:space="preserve"> NUMPAGES  </w:instrText>
            </w:r>
            <w:r w:rsidRPr="009A5A0E">
              <w:rPr>
                <w:rFonts w:asciiTheme="majorHAnsi" w:hAnsiTheme="majorHAnsi"/>
                <w:b/>
                <w:bCs/>
              </w:rPr>
              <w:fldChar w:fldCharType="separate"/>
            </w:r>
            <w:r w:rsidR="006E63AA">
              <w:rPr>
                <w:rFonts w:asciiTheme="majorHAnsi" w:hAnsiTheme="majorHAnsi"/>
                <w:b/>
                <w:bCs/>
                <w:noProof/>
              </w:rPr>
              <w:t>6</w:t>
            </w:r>
            <w:r w:rsidRPr="009A5A0E">
              <w:rPr>
                <w:rFonts w:asciiTheme="majorHAnsi" w:hAnsiTheme="majorHAnsi"/>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4F27"/>
      </w:rPr>
      <w:id w:val="-832069549"/>
      <w:docPartObj>
        <w:docPartGallery w:val="Page Numbers (Bottom of Page)"/>
        <w:docPartUnique/>
      </w:docPartObj>
    </w:sdtPr>
    <w:sdtEndPr/>
    <w:sdtContent>
      <w:sdt>
        <w:sdtPr>
          <w:rPr>
            <w:color w:val="004F27"/>
          </w:rPr>
          <w:id w:val="860082579"/>
          <w:docPartObj>
            <w:docPartGallery w:val="Page Numbers (Top of Page)"/>
            <w:docPartUnique/>
          </w:docPartObj>
        </w:sdtPr>
        <w:sdtEndPr/>
        <w:sdtContent>
          <w:p w14:paraId="3F9FAE10" w14:textId="4B8C2DE6" w:rsidR="00C33CCA" w:rsidRPr="00CD5354" w:rsidRDefault="00C33CCA" w:rsidP="00CD5354">
            <w:pPr>
              <w:pStyle w:val="Footer"/>
              <w:jc w:val="right"/>
              <w:rPr>
                <w:color w:val="004F27"/>
              </w:rPr>
            </w:pPr>
            <w:r w:rsidRPr="00C33CCA">
              <w:rPr>
                <w:rFonts w:asciiTheme="majorHAnsi" w:hAnsiTheme="majorHAnsi"/>
                <w:color w:val="004F27"/>
              </w:rPr>
              <w:t xml:space="preserve">Page </w:t>
            </w:r>
            <w:r w:rsidRPr="00C33CCA">
              <w:rPr>
                <w:rFonts w:asciiTheme="majorHAnsi" w:hAnsiTheme="majorHAnsi"/>
                <w:b/>
                <w:bCs/>
                <w:color w:val="004F27"/>
              </w:rPr>
              <w:fldChar w:fldCharType="begin"/>
            </w:r>
            <w:r w:rsidRPr="00C33CCA">
              <w:rPr>
                <w:rFonts w:asciiTheme="majorHAnsi" w:hAnsiTheme="majorHAnsi"/>
                <w:b/>
                <w:bCs/>
                <w:color w:val="004F27"/>
              </w:rPr>
              <w:instrText xml:space="preserve"> PAGE </w:instrText>
            </w:r>
            <w:r w:rsidRPr="00C33CCA">
              <w:rPr>
                <w:rFonts w:asciiTheme="majorHAnsi" w:hAnsiTheme="majorHAnsi"/>
                <w:b/>
                <w:bCs/>
                <w:color w:val="004F27"/>
              </w:rPr>
              <w:fldChar w:fldCharType="separate"/>
            </w:r>
            <w:r w:rsidR="006E63AA">
              <w:rPr>
                <w:rFonts w:asciiTheme="majorHAnsi" w:hAnsiTheme="majorHAnsi"/>
                <w:b/>
                <w:bCs/>
                <w:noProof/>
                <w:color w:val="004F27"/>
              </w:rPr>
              <w:t>1</w:t>
            </w:r>
            <w:r w:rsidRPr="00C33CCA">
              <w:rPr>
                <w:rFonts w:asciiTheme="majorHAnsi" w:hAnsiTheme="majorHAnsi"/>
                <w:b/>
                <w:bCs/>
                <w:color w:val="004F27"/>
              </w:rPr>
              <w:fldChar w:fldCharType="end"/>
            </w:r>
            <w:r w:rsidRPr="00C33CCA">
              <w:rPr>
                <w:rFonts w:asciiTheme="majorHAnsi" w:hAnsiTheme="majorHAnsi"/>
                <w:color w:val="004F27"/>
              </w:rPr>
              <w:t xml:space="preserve"> of </w:t>
            </w:r>
            <w:r w:rsidRPr="00C33CCA">
              <w:rPr>
                <w:rFonts w:asciiTheme="majorHAnsi" w:hAnsiTheme="majorHAnsi"/>
                <w:b/>
                <w:bCs/>
                <w:color w:val="004F27"/>
              </w:rPr>
              <w:fldChar w:fldCharType="begin"/>
            </w:r>
            <w:r w:rsidRPr="00C33CCA">
              <w:rPr>
                <w:rFonts w:asciiTheme="majorHAnsi" w:hAnsiTheme="majorHAnsi"/>
                <w:b/>
                <w:bCs/>
                <w:color w:val="004F27"/>
              </w:rPr>
              <w:instrText xml:space="preserve"> NUMPAGES  </w:instrText>
            </w:r>
            <w:r w:rsidRPr="00C33CCA">
              <w:rPr>
                <w:rFonts w:asciiTheme="majorHAnsi" w:hAnsiTheme="majorHAnsi"/>
                <w:b/>
                <w:bCs/>
                <w:color w:val="004F27"/>
              </w:rPr>
              <w:fldChar w:fldCharType="separate"/>
            </w:r>
            <w:r w:rsidR="006E63AA">
              <w:rPr>
                <w:rFonts w:asciiTheme="majorHAnsi" w:hAnsiTheme="majorHAnsi"/>
                <w:b/>
                <w:bCs/>
                <w:noProof/>
                <w:color w:val="004F27"/>
              </w:rPr>
              <w:t>6</w:t>
            </w:r>
            <w:r w:rsidRPr="00C33CCA">
              <w:rPr>
                <w:rFonts w:asciiTheme="majorHAnsi" w:hAnsiTheme="majorHAnsi"/>
                <w:b/>
                <w:bCs/>
                <w:color w:val="004F27"/>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0B8ED" w14:textId="77777777" w:rsidR="000F7959" w:rsidRDefault="000F7959" w:rsidP="00C267D7">
      <w:r>
        <w:separator/>
      </w:r>
    </w:p>
  </w:footnote>
  <w:footnote w:type="continuationSeparator" w:id="0">
    <w:p w14:paraId="15D60F09" w14:textId="77777777" w:rsidR="000F7959" w:rsidRDefault="000F7959" w:rsidP="00C26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5E2A" w14:textId="292F6BAE" w:rsidR="00BD0564" w:rsidRDefault="00BD0564" w:rsidP="00BD0564">
    <w:pPr>
      <w:pStyle w:val="Header"/>
    </w:pPr>
    <w:r>
      <w:rPr>
        <w:noProof/>
      </w:rPr>
      <w:drawing>
        <wp:anchor distT="0" distB="0" distL="114300" distR="114300" simplePos="0" relativeHeight="251663360" behindDoc="1" locked="0" layoutInCell="1" allowOverlap="1" wp14:anchorId="351C6ED4" wp14:editId="591F73B4">
          <wp:simplePos x="0" y="0"/>
          <wp:positionH relativeFrom="column">
            <wp:posOffset>-333375</wp:posOffset>
          </wp:positionH>
          <wp:positionV relativeFrom="paragraph">
            <wp:posOffset>85725</wp:posOffset>
          </wp:positionV>
          <wp:extent cx="3143250"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S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3143250" cy="647700"/>
                  </a:xfrm>
                  <a:prstGeom prst="rect">
                    <a:avLst/>
                  </a:prstGeom>
                </pic:spPr>
              </pic:pic>
            </a:graphicData>
          </a:graphic>
          <wp14:sizeRelH relativeFrom="page">
            <wp14:pctWidth>0</wp14:pctWidth>
          </wp14:sizeRelH>
          <wp14:sizeRelV relativeFrom="page">
            <wp14:pctHeight>0</wp14:pctHeight>
          </wp14:sizeRelV>
        </wp:anchor>
      </w:drawing>
    </w:r>
  </w:p>
  <w:p w14:paraId="287B41CF" w14:textId="77777777" w:rsidR="00BD0564" w:rsidRPr="007230F3" w:rsidRDefault="00BD0564" w:rsidP="0068465A">
    <w:pPr>
      <w:spacing w:before="520"/>
      <w:ind w:firstLine="1166"/>
      <w:rPr>
        <w:rFonts w:ascii="Akzidenz-Grotesk BQ" w:hAnsi="Akzidenz-Grotesk BQ"/>
        <w:color w:val="A6A6A6" w:themeColor="background1" w:themeShade="A6"/>
      </w:rPr>
    </w:pPr>
    <w:r w:rsidRPr="007230F3">
      <w:rPr>
        <w:rFonts w:ascii="Akzidenz-Grotesk BQ" w:hAnsi="Akzidenz-Grotesk BQ"/>
        <w:color w:val="A6A6A6" w:themeColor="background1" w:themeShade="A6"/>
      </w:rPr>
      <w:t>Institutional Biosafety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486B082"/>
    <w:lvl w:ilvl="0">
      <w:start w:val="1"/>
      <w:numFmt w:val="upperRoman"/>
      <w:pStyle w:val="Heading1"/>
      <w:lvlText w:val="%1."/>
      <w:legacy w:legacy="1" w:legacySpace="288" w:legacyIndent="144"/>
      <w:lvlJc w:val="left"/>
      <w:pPr>
        <w:ind w:left="3384" w:hanging="144"/>
      </w:pPr>
    </w:lvl>
    <w:lvl w:ilvl="1">
      <w:start w:val="1"/>
      <w:numFmt w:val="upperLetter"/>
      <w:lvlText w:val="%2."/>
      <w:legacy w:legacy="1" w:legacySpace="0" w:legacyIndent="720"/>
      <w:lvlJc w:val="left"/>
      <w:pPr>
        <w:ind w:left="4104" w:hanging="720"/>
      </w:pPr>
      <w:rPr>
        <w:rFonts w:ascii="Melior" w:hAnsi="Melior" w:hint="default"/>
      </w:rPr>
    </w:lvl>
    <w:lvl w:ilvl="2">
      <w:start w:val="1"/>
      <w:numFmt w:val="decimal"/>
      <w:pStyle w:val="Heading3"/>
      <w:lvlText w:val="%3."/>
      <w:legacy w:legacy="1" w:legacySpace="0" w:legacyIndent="720"/>
      <w:lvlJc w:val="left"/>
      <w:pPr>
        <w:ind w:left="4824" w:hanging="720"/>
      </w:pPr>
    </w:lvl>
    <w:lvl w:ilvl="3">
      <w:start w:val="1"/>
      <w:numFmt w:val="lowerLetter"/>
      <w:pStyle w:val="Heading4"/>
      <w:lvlText w:val="%4)"/>
      <w:legacy w:legacy="1" w:legacySpace="0" w:legacyIndent="720"/>
      <w:lvlJc w:val="left"/>
      <w:pPr>
        <w:ind w:left="5544" w:hanging="720"/>
      </w:pPr>
    </w:lvl>
    <w:lvl w:ilvl="4">
      <w:start w:val="1"/>
      <w:numFmt w:val="decimal"/>
      <w:pStyle w:val="Heading5"/>
      <w:lvlText w:val="(%5)"/>
      <w:legacy w:legacy="1" w:legacySpace="0" w:legacyIndent="720"/>
      <w:lvlJc w:val="left"/>
      <w:pPr>
        <w:ind w:left="6264" w:hanging="720"/>
      </w:pPr>
    </w:lvl>
    <w:lvl w:ilvl="5">
      <w:start w:val="1"/>
      <w:numFmt w:val="lowerLetter"/>
      <w:pStyle w:val="Heading6"/>
      <w:lvlText w:val="(%6)"/>
      <w:legacy w:legacy="1" w:legacySpace="0" w:legacyIndent="720"/>
      <w:lvlJc w:val="left"/>
      <w:pPr>
        <w:ind w:left="6984" w:hanging="720"/>
      </w:pPr>
    </w:lvl>
    <w:lvl w:ilvl="6">
      <w:start w:val="1"/>
      <w:numFmt w:val="lowerRoman"/>
      <w:pStyle w:val="Heading7"/>
      <w:lvlText w:val="(%7)"/>
      <w:legacy w:legacy="1" w:legacySpace="0" w:legacyIndent="720"/>
      <w:lvlJc w:val="left"/>
      <w:pPr>
        <w:ind w:left="7704" w:hanging="720"/>
      </w:pPr>
    </w:lvl>
    <w:lvl w:ilvl="7">
      <w:start w:val="1"/>
      <w:numFmt w:val="lowerLetter"/>
      <w:pStyle w:val="Heading8"/>
      <w:lvlText w:val="(%8)"/>
      <w:legacy w:legacy="1" w:legacySpace="0" w:legacyIndent="720"/>
      <w:lvlJc w:val="left"/>
      <w:pPr>
        <w:ind w:left="8424" w:hanging="720"/>
      </w:pPr>
    </w:lvl>
    <w:lvl w:ilvl="8">
      <w:start w:val="1"/>
      <w:numFmt w:val="lowerRoman"/>
      <w:pStyle w:val="Heading9"/>
      <w:lvlText w:val="(%9)"/>
      <w:legacy w:legacy="1" w:legacySpace="0" w:legacyIndent="720"/>
      <w:lvlJc w:val="left"/>
      <w:pPr>
        <w:ind w:left="9144" w:hanging="720"/>
      </w:pPr>
    </w:lvl>
  </w:abstractNum>
  <w:abstractNum w:abstractNumId="1" w15:restartNumberingAfterBreak="0">
    <w:nsid w:val="01B3500F"/>
    <w:multiLevelType w:val="hybridMultilevel"/>
    <w:tmpl w:val="17BE3E7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A1A2D"/>
    <w:multiLevelType w:val="hybridMultilevel"/>
    <w:tmpl w:val="E226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B096F"/>
    <w:multiLevelType w:val="hybridMultilevel"/>
    <w:tmpl w:val="5478D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F7559"/>
    <w:multiLevelType w:val="hybridMultilevel"/>
    <w:tmpl w:val="F1061B86"/>
    <w:lvl w:ilvl="0" w:tplc="F51859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26C4B"/>
    <w:multiLevelType w:val="hybridMultilevel"/>
    <w:tmpl w:val="72B6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C526B"/>
    <w:multiLevelType w:val="hybridMultilevel"/>
    <w:tmpl w:val="053E5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F82122"/>
    <w:multiLevelType w:val="hybridMultilevel"/>
    <w:tmpl w:val="4424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0C10B9"/>
    <w:multiLevelType w:val="hybridMultilevel"/>
    <w:tmpl w:val="9A68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D15D3"/>
    <w:multiLevelType w:val="hybridMultilevel"/>
    <w:tmpl w:val="EFF6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952D0F"/>
    <w:multiLevelType w:val="hybridMultilevel"/>
    <w:tmpl w:val="B14AF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35974AF"/>
    <w:multiLevelType w:val="hybridMultilevel"/>
    <w:tmpl w:val="785E43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665276"/>
    <w:multiLevelType w:val="hybridMultilevel"/>
    <w:tmpl w:val="60D2F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B746C9E"/>
    <w:multiLevelType w:val="hybridMultilevel"/>
    <w:tmpl w:val="A786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91236"/>
    <w:multiLevelType w:val="hybridMultilevel"/>
    <w:tmpl w:val="CA1297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9E32B9"/>
    <w:multiLevelType w:val="hybridMultilevel"/>
    <w:tmpl w:val="4E50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40012"/>
    <w:multiLevelType w:val="hybridMultilevel"/>
    <w:tmpl w:val="53BE3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610FF5"/>
    <w:multiLevelType w:val="hybridMultilevel"/>
    <w:tmpl w:val="5CC21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A85AA6"/>
    <w:multiLevelType w:val="hybridMultilevel"/>
    <w:tmpl w:val="DA7EC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1553B7F"/>
    <w:multiLevelType w:val="hybridMultilevel"/>
    <w:tmpl w:val="7FAA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45F19"/>
    <w:multiLevelType w:val="hybridMultilevel"/>
    <w:tmpl w:val="236C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66FAC"/>
    <w:multiLevelType w:val="hybridMultilevel"/>
    <w:tmpl w:val="C8E6B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503560D"/>
    <w:multiLevelType w:val="hybridMultilevel"/>
    <w:tmpl w:val="98D0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804FC"/>
    <w:multiLevelType w:val="singleLevel"/>
    <w:tmpl w:val="C9404C4A"/>
    <w:lvl w:ilvl="0">
      <w:start w:val="1"/>
      <w:numFmt w:val="upperLetter"/>
      <w:lvlText w:val="%1."/>
      <w:legacy w:legacy="1" w:legacySpace="0" w:legacyIndent="360"/>
      <w:lvlJc w:val="left"/>
      <w:pPr>
        <w:ind w:left="720" w:hanging="360"/>
      </w:pPr>
    </w:lvl>
  </w:abstractNum>
  <w:abstractNum w:abstractNumId="24" w15:restartNumberingAfterBreak="0">
    <w:nsid w:val="4BB7651D"/>
    <w:multiLevelType w:val="hybridMultilevel"/>
    <w:tmpl w:val="C19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D076B"/>
    <w:multiLevelType w:val="hybridMultilevel"/>
    <w:tmpl w:val="6B96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62412"/>
    <w:multiLevelType w:val="hybridMultilevel"/>
    <w:tmpl w:val="5208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DC12CB"/>
    <w:multiLevelType w:val="hybridMultilevel"/>
    <w:tmpl w:val="2EC8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E1260"/>
    <w:multiLevelType w:val="hybridMultilevel"/>
    <w:tmpl w:val="4A34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7795C"/>
    <w:multiLevelType w:val="hybridMultilevel"/>
    <w:tmpl w:val="DCAA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4051E"/>
    <w:multiLevelType w:val="hybridMultilevel"/>
    <w:tmpl w:val="2150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774C3"/>
    <w:multiLevelType w:val="hybridMultilevel"/>
    <w:tmpl w:val="6DD63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C5E2CFC"/>
    <w:multiLevelType w:val="hybridMultilevel"/>
    <w:tmpl w:val="19901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1D59F7"/>
    <w:multiLevelType w:val="hybridMultilevel"/>
    <w:tmpl w:val="29A4C6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4427B4"/>
    <w:multiLevelType w:val="hybridMultilevel"/>
    <w:tmpl w:val="220EE556"/>
    <w:lvl w:ilvl="0" w:tplc="8B2C8FC6">
      <w:start w:val="1"/>
      <w:numFmt w:val="upperLetter"/>
      <w:lvlText w:val="%1."/>
      <w:lvlJc w:val="left"/>
      <w:pPr>
        <w:ind w:left="720" w:hanging="360"/>
      </w:pPr>
      <w:rPr>
        <w:rFonts w:ascii="Melior" w:hAnsi="Melior" w:hint="default"/>
        <w:b w:val="0"/>
        <w:i w:val="0"/>
        <w:caps w:val="0"/>
        <w:strike w:val="0"/>
        <w:dstrike w:val="0"/>
        <w:vanish w:val="0"/>
        <w:color w:val="auto"/>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A4C92"/>
    <w:multiLevelType w:val="hybridMultilevel"/>
    <w:tmpl w:val="61C4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31"/>
  </w:num>
  <w:num w:numId="4">
    <w:abstractNumId w:val="21"/>
  </w:num>
  <w:num w:numId="5">
    <w:abstractNumId w:val="10"/>
  </w:num>
  <w:num w:numId="6">
    <w:abstractNumId w:val="12"/>
  </w:num>
  <w:num w:numId="7">
    <w:abstractNumId w:val="8"/>
  </w:num>
  <w:num w:numId="8">
    <w:abstractNumId w:val="3"/>
  </w:num>
  <w:num w:numId="9">
    <w:abstractNumId w:val="0"/>
  </w:num>
  <w:num w:numId="10">
    <w:abstractNumId w:val="23"/>
  </w:num>
  <w:num w:numId="11">
    <w:abstractNumId w:val="32"/>
  </w:num>
  <w:num w:numId="12">
    <w:abstractNumId w:val="33"/>
  </w:num>
  <w:num w:numId="13">
    <w:abstractNumId w:val="26"/>
  </w:num>
  <w:num w:numId="14">
    <w:abstractNumId w:val="1"/>
  </w:num>
  <w:num w:numId="15">
    <w:abstractNumId w:val="29"/>
  </w:num>
  <w:num w:numId="16">
    <w:abstractNumId w:val="7"/>
  </w:num>
  <w:num w:numId="17">
    <w:abstractNumId w:val="2"/>
  </w:num>
  <w:num w:numId="18">
    <w:abstractNumId w:val="13"/>
  </w:num>
  <w:num w:numId="19">
    <w:abstractNumId w:val="22"/>
  </w:num>
  <w:num w:numId="20">
    <w:abstractNumId w:val="17"/>
  </w:num>
  <w:num w:numId="21">
    <w:abstractNumId w:val="16"/>
  </w:num>
  <w:num w:numId="22">
    <w:abstractNumId w:val="4"/>
  </w:num>
  <w:num w:numId="23">
    <w:abstractNumId w:val="27"/>
  </w:num>
  <w:num w:numId="24">
    <w:abstractNumId w:val="9"/>
  </w:num>
  <w:num w:numId="25">
    <w:abstractNumId w:val="5"/>
  </w:num>
  <w:num w:numId="26">
    <w:abstractNumId w:val="19"/>
  </w:num>
  <w:num w:numId="27">
    <w:abstractNumId w:val="24"/>
  </w:num>
  <w:num w:numId="28">
    <w:abstractNumId w:val="15"/>
  </w:num>
  <w:num w:numId="29">
    <w:abstractNumId w:val="35"/>
  </w:num>
  <w:num w:numId="30">
    <w:abstractNumId w:val="30"/>
  </w:num>
  <w:num w:numId="31">
    <w:abstractNumId w:val="20"/>
  </w:num>
  <w:num w:numId="32">
    <w:abstractNumId w:val="28"/>
  </w:num>
  <w:num w:numId="33">
    <w:abstractNumId w:val="25"/>
  </w:num>
  <w:num w:numId="34">
    <w:abstractNumId w:val="14"/>
  </w:num>
  <w:num w:numId="35">
    <w:abstractNumId w:val="1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D7"/>
    <w:rsid w:val="00014C7D"/>
    <w:rsid w:val="0002632E"/>
    <w:rsid w:val="0005566A"/>
    <w:rsid w:val="00067138"/>
    <w:rsid w:val="000937DD"/>
    <w:rsid w:val="0009506B"/>
    <w:rsid w:val="000B7E32"/>
    <w:rsid w:val="000F7959"/>
    <w:rsid w:val="00134908"/>
    <w:rsid w:val="00142F93"/>
    <w:rsid w:val="00155B26"/>
    <w:rsid w:val="00197DF3"/>
    <w:rsid w:val="00197E40"/>
    <w:rsid w:val="001C511B"/>
    <w:rsid w:val="001D0D68"/>
    <w:rsid w:val="001D2F61"/>
    <w:rsid w:val="00204359"/>
    <w:rsid w:val="002822E4"/>
    <w:rsid w:val="002927EC"/>
    <w:rsid w:val="002C4144"/>
    <w:rsid w:val="002D6C38"/>
    <w:rsid w:val="002E4703"/>
    <w:rsid w:val="002E7640"/>
    <w:rsid w:val="002F390B"/>
    <w:rsid w:val="002F506D"/>
    <w:rsid w:val="00306C32"/>
    <w:rsid w:val="00322AA8"/>
    <w:rsid w:val="0032719F"/>
    <w:rsid w:val="00332FA2"/>
    <w:rsid w:val="00335B14"/>
    <w:rsid w:val="003537C7"/>
    <w:rsid w:val="0035799A"/>
    <w:rsid w:val="0036150F"/>
    <w:rsid w:val="0037153D"/>
    <w:rsid w:val="00382FC9"/>
    <w:rsid w:val="003836EB"/>
    <w:rsid w:val="003A301F"/>
    <w:rsid w:val="003A35DE"/>
    <w:rsid w:val="003B0A12"/>
    <w:rsid w:val="003B7321"/>
    <w:rsid w:val="003C4113"/>
    <w:rsid w:val="003D1593"/>
    <w:rsid w:val="00401BBB"/>
    <w:rsid w:val="00402E2A"/>
    <w:rsid w:val="00407981"/>
    <w:rsid w:val="0041783C"/>
    <w:rsid w:val="00417CCE"/>
    <w:rsid w:val="00430623"/>
    <w:rsid w:val="00445F2E"/>
    <w:rsid w:val="00450420"/>
    <w:rsid w:val="00456145"/>
    <w:rsid w:val="00482F78"/>
    <w:rsid w:val="00483B15"/>
    <w:rsid w:val="00490C94"/>
    <w:rsid w:val="004966B8"/>
    <w:rsid w:val="004B30B6"/>
    <w:rsid w:val="004B62C0"/>
    <w:rsid w:val="004D0182"/>
    <w:rsid w:val="004E3FB6"/>
    <w:rsid w:val="00523888"/>
    <w:rsid w:val="00526782"/>
    <w:rsid w:val="00535AE3"/>
    <w:rsid w:val="00541F8C"/>
    <w:rsid w:val="0054727D"/>
    <w:rsid w:val="0055206E"/>
    <w:rsid w:val="00554D50"/>
    <w:rsid w:val="00573D54"/>
    <w:rsid w:val="005C778B"/>
    <w:rsid w:val="005D5C40"/>
    <w:rsid w:val="005E12BE"/>
    <w:rsid w:val="0060519A"/>
    <w:rsid w:val="00630913"/>
    <w:rsid w:val="006317EF"/>
    <w:rsid w:val="006407E7"/>
    <w:rsid w:val="0068465A"/>
    <w:rsid w:val="00685F03"/>
    <w:rsid w:val="00694115"/>
    <w:rsid w:val="006955D9"/>
    <w:rsid w:val="006C4A92"/>
    <w:rsid w:val="006D5DF8"/>
    <w:rsid w:val="006E63AA"/>
    <w:rsid w:val="00717E93"/>
    <w:rsid w:val="007230F3"/>
    <w:rsid w:val="00725CAA"/>
    <w:rsid w:val="00793638"/>
    <w:rsid w:val="00795CE5"/>
    <w:rsid w:val="00796776"/>
    <w:rsid w:val="007A0902"/>
    <w:rsid w:val="007A18D5"/>
    <w:rsid w:val="007B5C68"/>
    <w:rsid w:val="007F7885"/>
    <w:rsid w:val="00812C37"/>
    <w:rsid w:val="008172A9"/>
    <w:rsid w:val="00837ECE"/>
    <w:rsid w:val="00860EDB"/>
    <w:rsid w:val="008A25D2"/>
    <w:rsid w:val="008A59EA"/>
    <w:rsid w:val="008C0292"/>
    <w:rsid w:val="008C49C2"/>
    <w:rsid w:val="008E34C2"/>
    <w:rsid w:val="008E5B5C"/>
    <w:rsid w:val="008F02A6"/>
    <w:rsid w:val="008F45B5"/>
    <w:rsid w:val="008F51B2"/>
    <w:rsid w:val="009008EE"/>
    <w:rsid w:val="00915B26"/>
    <w:rsid w:val="00925FFE"/>
    <w:rsid w:val="0092631C"/>
    <w:rsid w:val="009371E6"/>
    <w:rsid w:val="0093733E"/>
    <w:rsid w:val="009A5A0E"/>
    <w:rsid w:val="009B003F"/>
    <w:rsid w:val="009B4869"/>
    <w:rsid w:val="009D034B"/>
    <w:rsid w:val="009E5589"/>
    <w:rsid w:val="009E6733"/>
    <w:rsid w:val="00A017D5"/>
    <w:rsid w:val="00A736E0"/>
    <w:rsid w:val="00A7668F"/>
    <w:rsid w:val="00A937B9"/>
    <w:rsid w:val="00A93C0E"/>
    <w:rsid w:val="00A950E0"/>
    <w:rsid w:val="00AA292B"/>
    <w:rsid w:val="00AA736B"/>
    <w:rsid w:val="00AB7623"/>
    <w:rsid w:val="00AC273F"/>
    <w:rsid w:val="00AD5AEE"/>
    <w:rsid w:val="00AE4CFA"/>
    <w:rsid w:val="00AE6911"/>
    <w:rsid w:val="00AF127E"/>
    <w:rsid w:val="00B024C2"/>
    <w:rsid w:val="00B06568"/>
    <w:rsid w:val="00B1778B"/>
    <w:rsid w:val="00B41DAC"/>
    <w:rsid w:val="00B433C6"/>
    <w:rsid w:val="00B4460E"/>
    <w:rsid w:val="00B5184B"/>
    <w:rsid w:val="00B6195E"/>
    <w:rsid w:val="00B66A66"/>
    <w:rsid w:val="00BB35A3"/>
    <w:rsid w:val="00BD0564"/>
    <w:rsid w:val="00BE6AFE"/>
    <w:rsid w:val="00BF0143"/>
    <w:rsid w:val="00BF2A1E"/>
    <w:rsid w:val="00C062C1"/>
    <w:rsid w:val="00C134DF"/>
    <w:rsid w:val="00C267D7"/>
    <w:rsid w:val="00C33CCA"/>
    <w:rsid w:val="00C46760"/>
    <w:rsid w:val="00C559EF"/>
    <w:rsid w:val="00C635A0"/>
    <w:rsid w:val="00C75974"/>
    <w:rsid w:val="00CA0024"/>
    <w:rsid w:val="00CC4ADA"/>
    <w:rsid w:val="00CC650B"/>
    <w:rsid w:val="00CD5354"/>
    <w:rsid w:val="00CD5EDF"/>
    <w:rsid w:val="00CF6C08"/>
    <w:rsid w:val="00D30807"/>
    <w:rsid w:val="00D336C0"/>
    <w:rsid w:val="00D350DE"/>
    <w:rsid w:val="00DC658E"/>
    <w:rsid w:val="00DC6ECE"/>
    <w:rsid w:val="00DC7C4B"/>
    <w:rsid w:val="00DE3E78"/>
    <w:rsid w:val="00DF2787"/>
    <w:rsid w:val="00DF4574"/>
    <w:rsid w:val="00E15197"/>
    <w:rsid w:val="00E320A5"/>
    <w:rsid w:val="00E36296"/>
    <w:rsid w:val="00E517B7"/>
    <w:rsid w:val="00E62254"/>
    <w:rsid w:val="00E643EF"/>
    <w:rsid w:val="00E64A72"/>
    <w:rsid w:val="00E702DD"/>
    <w:rsid w:val="00E80205"/>
    <w:rsid w:val="00E8435C"/>
    <w:rsid w:val="00E85694"/>
    <w:rsid w:val="00EC72B3"/>
    <w:rsid w:val="00EF3D4F"/>
    <w:rsid w:val="00F01324"/>
    <w:rsid w:val="00F0289E"/>
    <w:rsid w:val="00F06B90"/>
    <w:rsid w:val="00F07FE1"/>
    <w:rsid w:val="00F46501"/>
    <w:rsid w:val="00F517FA"/>
    <w:rsid w:val="00F74CE8"/>
    <w:rsid w:val="00F80403"/>
    <w:rsid w:val="00F9724D"/>
    <w:rsid w:val="00FB09AA"/>
    <w:rsid w:val="00FC38ED"/>
    <w:rsid w:val="00FE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85255ED"/>
  <w15:docId w15:val="{061AEADF-2B7C-4C8E-8D2E-D1E1150C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7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54727D"/>
    <w:pPr>
      <w:keepNext/>
      <w:numPr>
        <w:numId w:val="9"/>
      </w:numPr>
      <w:tabs>
        <w:tab w:val="left" w:pos="720"/>
      </w:tabs>
      <w:spacing w:before="240" w:after="120"/>
      <w:ind w:left="720" w:hanging="720"/>
      <w:outlineLvl w:val="0"/>
    </w:pPr>
    <w:rPr>
      <w:rFonts w:ascii="Melior" w:hAnsi="Melior"/>
      <w:kern w:val="28"/>
      <w:szCs w:val="20"/>
      <w:u w:val="single"/>
    </w:rPr>
  </w:style>
  <w:style w:type="paragraph" w:styleId="Heading2">
    <w:name w:val="heading 2"/>
    <w:basedOn w:val="Normal"/>
    <w:next w:val="Normal"/>
    <w:link w:val="Heading2Char"/>
    <w:qFormat/>
    <w:rsid w:val="0054727D"/>
    <w:pPr>
      <w:keepNext/>
      <w:spacing w:before="120" w:after="120"/>
      <w:ind w:left="720"/>
      <w:outlineLvl w:val="1"/>
    </w:pPr>
    <w:rPr>
      <w:rFonts w:ascii="Melior" w:hAnsi="Melior"/>
      <w:b/>
      <w:i/>
      <w:szCs w:val="20"/>
    </w:rPr>
  </w:style>
  <w:style w:type="paragraph" w:styleId="Heading3">
    <w:name w:val="heading 3"/>
    <w:basedOn w:val="Normal"/>
    <w:next w:val="Normal"/>
    <w:link w:val="Heading3Char"/>
    <w:qFormat/>
    <w:rsid w:val="00DC7C4B"/>
    <w:pPr>
      <w:keepNext/>
      <w:numPr>
        <w:ilvl w:val="2"/>
        <w:numId w:val="9"/>
      </w:numPr>
      <w:spacing w:before="60"/>
      <w:outlineLvl w:val="2"/>
    </w:pPr>
    <w:rPr>
      <w:szCs w:val="20"/>
    </w:rPr>
  </w:style>
  <w:style w:type="paragraph" w:styleId="Heading4">
    <w:name w:val="heading 4"/>
    <w:basedOn w:val="Normal"/>
    <w:next w:val="Normal"/>
    <w:link w:val="Heading4Char"/>
    <w:qFormat/>
    <w:rsid w:val="00DC7C4B"/>
    <w:pPr>
      <w:keepNext/>
      <w:numPr>
        <w:ilvl w:val="3"/>
        <w:numId w:val="9"/>
      </w:numPr>
      <w:spacing w:before="120"/>
      <w:outlineLvl w:val="3"/>
    </w:pPr>
    <w:rPr>
      <w:szCs w:val="20"/>
    </w:rPr>
  </w:style>
  <w:style w:type="paragraph" w:styleId="Heading5">
    <w:name w:val="heading 5"/>
    <w:basedOn w:val="Normal"/>
    <w:next w:val="Normal"/>
    <w:link w:val="Heading5Char"/>
    <w:qFormat/>
    <w:rsid w:val="00DC7C4B"/>
    <w:pPr>
      <w:numPr>
        <w:ilvl w:val="4"/>
        <w:numId w:val="9"/>
      </w:numPr>
      <w:spacing w:before="240" w:after="60"/>
      <w:outlineLvl w:val="4"/>
    </w:pPr>
    <w:rPr>
      <w:rFonts w:ascii="Arial" w:hAnsi="Arial"/>
      <w:sz w:val="22"/>
      <w:szCs w:val="20"/>
    </w:rPr>
  </w:style>
  <w:style w:type="paragraph" w:styleId="Heading6">
    <w:name w:val="heading 6"/>
    <w:basedOn w:val="Normal"/>
    <w:next w:val="Normal"/>
    <w:link w:val="Heading6Char"/>
    <w:qFormat/>
    <w:rsid w:val="00DC7C4B"/>
    <w:pPr>
      <w:numPr>
        <w:ilvl w:val="5"/>
        <w:numId w:val="9"/>
      </w:numPr>
      <w:spacing w:before="240" w:after="60"/>
      <w:outlineLvl w:val="5"/>
    </w:pPr>
    <w:rPr>
      <w:i/>
      <w:sz w:val="22"/>
      <w:szCs w:val="20"/>
    </w:rPr>
  </w:style>
  <w:style w:type="paragraph" w:styleId="Heading7">
    <w:name w:val="heading 7"/>
    <w:basedOn w:val="Normal"/>
    <w:next w:val="Normal"/>
    <w:link w:val="Heading7Char"/>
    <w:qFormat/>
    <w:rsid w:val="00DC7C4B"/>
    <w:pPr>
      <w:numPr>
        <w:ilvl w:val="6"/>
        <w:numId w:val="9"/>
      </w:numPr>
      <w:spacing w:before="240" w:after="60"/>
      <w:outlineLvl w:val="6"/>
    </w:pPr>
    <w:rPr>
      <w:rFonts w:ascii="Arial" w:hAnsi="Arial"/>
      <w:sz w:val="20"/>
      <w:szCs w:val="20"/>
    </w:rPr>
  </w:style>
  <w:style w:type="paragraph" w:styleId="Heading8">
    <w:name w:val="heading 8"/>
    <w:basedOn w:val="Normal"/>
    <w:next w:val="Normal"/>
    <w:link w:val="Heading8Char"/>
    <w:qFormat/>
    <w:rsid w:val="00DC7C4B"/>
    <w:pPr>
      <w:numPr>
        <w:ilvl w:val="7"/>
        <w:numId w:val="9"/>
      </w:numPr>
      <w:spacing w:before="240" w:after="60"/>
      <w:outlineLvl w:val="7"/>
    </w:pPr>
    <w:rPr>
      <w:rFonts w:ascii="Arial" w:hAnsi="Arial"/>
      <w:i/>
      <w:sz w:val="20"/>
      <w:szCs w:val="20"/>
    </w:rPr>
  </w:style>
  <w:style w:type="paragraph" w:styleId="Heading9">
    <w:name w:val="heading 9"/>
    <w:basedOn w:val="Normal"/>
    <w:next w:val="Normal"/>
    <w:link w:val="Heading9Char"/>
    <w:qFormat/>
    <w:rsid w:val="00DC7C4B"/>
    <w:pPr>
      <w:numPr>
        <w:ilvl w:val="8"/>
        <w:numId w:val="9"/>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7D7"/>
    <w:pPr>
      <w:tabs>
        <w:tab w:val="center" w:pos="4680"/>
        <w:tab w:val="right" w:pos="9360"/>
      </w:tabs>
    </w:pPr>
  </w:style>
  <w:style w:type="character" w:customStyle="1" w:styleId="HeaderChar">
    <w:name w:val="Header Char"/>
    <w:basedOn w:val="DefaultParagraphFont"/>
    <w:link w:val="Header"/>
    <w:uiPriority w:val="99"/>
    <w:rsid w:val="00C267D7"/>
  </w:style>
  <w:style w:type="paragraph" w:styleId="Footer">
    <w:name w:val="footer"/>
    <w:basedOn w:val="Normal"/>
    <w:link w:val="FooterChar"/>
    <w:uiPriority w:val="99"/>
    <w:unhideWhenUsed/>
    <w:rsid w:val="00C267D7"/>
    <w:pPr>
      <w:tabs>
        <w:tab w:val="center" w:pos="4680"/>
        <w:tab w:val="right" w:pos="9360"/>
      </w:tabs>
    </w:pPr>
  </w:style>
  <w:style w:type="character" w:customStyle="1" w:styleId="FooterChar">
    <w:name w:val="Footer Char"/>
    <w:basedOn w:val="DefaultParagraphFont"/>
    <w:link w:val="Footer"/>
    <w:uiPriority w:val="99"/>
    <w:rsid w:val="00C267D7"/>
  </w:style>
  <w:style w:type="paragraph" w:styleId="BalloonText">
    <w:name w:val="Balloon Text"/>
    <w:basedOn w:val="Normal"/>
    <w:link w:val="BalloonTextChar"/>
    <w:uiPriority w:val="99"/>
    <w:semiHidden/>
    <w:unhideWhenUsed/>
    <w:rsid w:val="00C267D7"/>
    <w:rPr>
      <w:rFonts w:ascii="Tahoma" w:hAnsi="Tahoma" w:cs="Tahoma"/>
      <w:sz w:val="16"/>
      <w:szCs w:val="16"/>
    </w:rPr>
  </w:style>
  <w:style w:type="character" w:customStyle="1" w:styleId="BalloonTextChar">
    <w:name w:val="Balloon Text Char"/>
    <w:basedOn w:val="DefaultParagraphFont"/>
    <w:link w:val="BalloonText"/>
    <w:uiPriority w:val="99"/>
    <w:semiHidden/>
    <w:rsid w:val="00C267D7"/>
    <w:rPr>
      <w:rFonts w:ascii="Tahoma" w:hAnsi="Tahoma" w:cs="Tahoma"/>
      <w:sz w:val="16"/>
      <w:szCs w:val="16"/>
    </w:rPr>
  </w:style>
  <w:style w:type="character" w:styleId="Hyperlink">
    <w:name w:val="Hyperlink"/>
    <w:unhideWhenUsed/>
    <w:rsid w:val="003537C7"/>
    <w:rPr>
      <w:color w:val="0000FF"/>
      <w:u w:val="single"/>
    </w:rPr>
  </w:style>
  <w:style w:type="paragraph" w:styleId="CommentText">
    <w:name w:val="annotation text"/>
    <w:basedOn w:val="Normal"/>
    <w:link w:val="CommentTextChar"/>
    <w:uiPriority w:val="99"/>
    <w:semiHidden/>
    <w:unhideWhenUsed/>
    <w:rsid w:val="003537C7"/>
    <w:rPr>
      <w:sz w:val="20"/>
      <w:szCs w:val="20"/>
    </w:rPr>
  </w:style>
  <w:style w:type="character" w:customStyle="1" w:styleId="CommentTextChar">
    <w:name w:val="Comment Text Char"/>
    <w:basedOn w:val="DefaultParagraphFont"/>
    <w:link w:val="CommentText"/>
    <w:uiPriority w:val="99"/>
    <w:semiHidden/>
    <w:rsid w:val="003537C7"/>
    <w:rPr>
      <w:rFonts w:ascii="Times New Roman" w:eastAsia="Times New Roman" w:hAnsi="Times New Roman" w:cs="Times New Roman"/>
      <w:sz w:val="20"/>
      <w:szCs w:val="20"/>
    </w:rPr>
  </w:style>
  <w:style w:type="paragraph" w:styleId="Signature">
    <w:name w:val="Signature"/>
    <w:basedOn w:val="Normal"/>
    <w:link w:val="SignatureChar"/>
    <w:semiHidden/>
    <w:unhideWhenUsed/>
    <w:rsid w:val="003537C7"/>
    <w:pPr>
      <w:ind w:left="4320"/>
    </w:pPr>
  </w:style>
  <w:style w:type="character" w:customStyle="1" w:styleId="SignatureChar">
    <w:name w:val="Signature Char"/>
    <w:basedOn w:val="DefaultParagraphFont"/>
    <w:link w:val="Signature"/>
    <w:semiHidden/>
    <w:rsid w:val="003537C7"/>
    <w:rPr>
      <w:rFonts w:ascii="Times New Roman" w:eastAsia="Times New Roman" w:hAnsi="Times New Roman" w:cs="Times New Roman"/>
      <w:sz w:val="24"/>
      <w:szCs w:val="24"/>
    </w:rPr>
  </w:style>
  <w:style w:type="paragraph" w:styleId="Closing">
    <w:name w:val="Closing"/>
    <w:basedOn w:val="Normal"/>
    <w:next w:val="Signature"/>
    <w:link w:val="ClosingChar"/>
    <w:semiHidden/>
    <w:unhideWhenUsed/>
    <w:rsid w:val="003537C7"/>
    <w:pPr>
      <w:keepNext/>
      <w:spacing w:after="60" w:line="220" w:lineRule="atLeast"/>
      <w:jc w:val="both"/>
    </w:pPr>
    <w:rPr>
      <w:rFonts w:ascii="Arial" w:hAnsi="Arial"/>
      <w:spacing w:val="-5"/>
      <w:sz w:val="20"/>
      <w:szCs w:val="20"/>
    </w:rPr>
  </w:style>
  <w:style w:type="character" w:customStyle="1" w:styleId="ClosingChar">
    <w:name w:val="Closing Char"/>
    <w:basedOn w:val="DefaultParagraphFont"/>
    <w:link w:val="Closing"/>
    <w:semiHidden/>
    <w:rsid w:val="003537C7"/>
    <w:rPr>
      <w:rFonts w:ascii="Arial" w:eastAsia="Times New Roman" w:hAnsi="Arial" w:cs="Times New Roman"/>
      <w:spacing w:val="-5"/>
      <w:sz w:val="20"/>
      <w:szCs w:val="20"/>
    </w:rPr>
  </w:style>
  <w:style w:type="paragraph" w:styleId="BodyText">
    <w:name w:val="Body Text"/>
    <w:basedOn w:val="Normal"/>
    <w:link w:val="BodyTextChar"/>
    <w:semiHidden/>
    <w:unhideWhenUsed/>
    <w:rsid w:val="003537C7"/>
    <w:pPr>
      <w:spacing w:after="120"/>
    </w:pPr>
  </w:style>
  <w:style w:type="character" w:customStyle="1" w:styleId="BodyTextChar">
    <w:name w:val="Body Text Char"/>
    <w:basedOn w:val="DefaultParagraphFont"/>
    <w:link w:val="BodyText"/>
    <w:semiHidden/>
    <w:rsid w:val="003537C7"/>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3537C7"/>
    <w:pPr>
      <w:spacing w:after="120"/>
      <w:ind w:left="360"/>
    </w:pPr>
  </w:style>
  <w:style w:type="character" w:customStyle="1" w:styleId="BodyTextIndentChar">
    <w:name w:val="Body Text Indent Char"/>
    <w:basedOn w:val="DefaultParagraphFont"/>
    <w:link w:val="BodyTextIndent"/>
    <w:semiHidden/>
    <w:rsid w:val="003537C7"/>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3537C7"/>
    <w:pPr>
      <w:spacing w:after="120" w:line="480" w:lineRule="auto"/>
    </w:pPr>
  </w:style>
  <w:style w:type="character" w:customStyle="1" w:styleId="BodyText2Char">
    <w:name w:val="Body Text 2 Char"/>
    <w:basedOn w:val="DefaultParagraphFont"/>
    <w:link w:val="BodyText2"/>
    <w:semiHidden/>
    <w:rsid w:val="003537C7"/>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3537C7"/>
    <w:pPr>
      <w:spacing w:after="120"/>
    </w:pPr>
    <w:rPr>
      <w:sz w:val="16"/>
      <w:szCs w:val="16"/>
    </w:rPr>
  </w:style>
  <w:style w:type="character" w:customStyle="1" w:styleId="BodyText3Char">
    <w:name w:val="Body Text 3 Char"/>
    <w:basedOn w:val="DefaultParagraphFont"/>
    <w:link w:val="BodyText3"/>
    <w:semiHidden/>
    <w:rsid w:val="003537C7"/>
    <w:rPr>
      <w:rFonts w:ascii="Times New Roman" w:eastAsia="Times New Roman" w:hAnsi="Times New Roman" w:cs="Times New Roman"/>
      <w:sz w:val="16"/>
      <w:szCs w:val="16"/>
    </w:rPr>
  </w:style>
  <w:style w:type="paragraph" w:styleId="ListParagraph">
    <w:name w:val="List Paragraph"/>
    <w:basedOn w:val="Normal"/>
    <w:uiPriority w:val="34"/>
    <w:qFormat/>
    <w:rsid w:val="003537C7"/>
    <w:pPr>
      <w:ind w:left="720"/>
    </w:pPr>
  </w:style>
  <w:style w:type="character" w:styleId="CommentReference">
    <w:name w:val="annotation reference"/>
    <w:basedOn w:val="DefaultParagraphFont"/>
    <w:uiPriority w:val="99"/>
    <w:semiHidden/>
    <w:unhideWhenUsed/>
    <w:rsid w:val="003537C7"/>
    <w:rPr>
      <w:sz w:val="16"/>
      <w:szCs w:val="16"/>
    </w:rPr>
  </w:style>
  <w:style w:type="character" w:customStyle="1" w:styleId="Heading1Char">
    <w:name w:val="Heading 1 Char"/>
    <w:basedOn w:val="DefaultParagraphFont"/>
    <w:link w:val="Heading1"/>
    <w:rsid w:val="0054727D"/>
    <w:rPr>
      <w:rFonts w:ascii="Melior" w:eastAsia="Times New Roman" w:hAnsi="Melior" w:cs="Times New Roman"/>
      <w:kern w:val="28"/>
      <w:sz w:val="24"/>
      <w:szCs w:val="20"/>
      <w:u w:val="single"/>
    </w:rPr>
  </w:style>
  <w:style w:type="character" w:customStyle="1" w:styleId="Heading2Char">
    <w:name w:val="Heading 2 Char"/>
    <w:basedOn w:val="DefaultParagraphFont"/>
    <w:link w:val="Heading2"/>
    <w:rsid w:val="0054727D"/>
    <w:rPr>
      <w:rFonts w:ascii="Melior" w:eastAsia="Times New Roman" w:hAnsi="Melior" w:cs="Times New Roman"/>
      <w:b/>
      <w:i/>
      <w:sz w:val="24"/>
      <w:szCs w:val="20"/>
    </w:rPr>
  </w:style>
  <w:style w:type="character" w:customStyle="1" w:styleId="Heading3Char">
    <w:name w:val="Heading 3 Char"/>
    <w:basedOn w:val="DefaultParagraphFont"/>
    <w:link w:val="Heading3"/>
    <w:rsid w:val="00DC7C4B"/>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DC7C4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DC7C4B"/>
    <w:rPr>
      <w:rFonts w:ascii="Arial" w:eastAsia="Times New Roman" w:hAnsi="Arial" w:cs="Times New Roman"/>
      <w:szCs w:val="20"/>
    </w:rPr>
  </w:style>
  <w:style w:type="character" w:customStyle="1" w:styleId="Heading6Char">
    <w:name w:val="Heading 6 Char"/>
    <w:basedOn w:val="DefaultParagraphFont"/>
    <w:link w:val="Heading6"/>
    <w:rsid w:val="00DC7C4B"/>
    <w:rPr>
      <w:rFonts w:ascii="Times New Roman" w:eastAsia="Times New Roman" w:hAnsi="Times New Roman" w:cs="Times New Roman"/>
      <w:i/>
      <w:szCs w:val="20"/>
    </w:rPr>
  </w:style>
  <w:style w:type="character" w:customStyle="1" w:styleId="Heading7Char">
    <w:name w:val="Heading 7 Char"/>
    <w:basedOn w:val="DefaultParagraphFont"/>
    <w:link w:val="Heading7"/>
    <w:rsid w:val="00DC7C4B"/>
    <w:rPr>
      <w:rFonts w:ascii="Arial" w:eastAsia="Times New Roman" w:hAnsi="Arial" w:cs="Times New Roman"/>
      <w:sz w:val="20"/>
      <w:szCs w:val="20"/>
    </w:rPr>
  </w:style>
  <w:style w:type="character" w:customStyle="1" w:styleId="Heading8Char">
    <w:name w:val="Heading 8 Char"/>
    <w:basedOn w:val="DefaultParagraphFont"/>
    <w:link w:val="Heading8"/>
    <w:rsid w:val="00DC7C4B"/>
    <w:rPr>
      <w:rFonts w:ascii="Arial" w:eastAsia="Times New Roman" w:hAnsi="Arial" w:cs="Times New Roman"/>
      <w:i/>
      <w:sz w:val="20"/>
      <w:szCs w:val="20"/>
    </w:rPr>
  </w:style>
  <w:style w:type="character" w:customStyle="1" w:styleId="Heading9Char">
    <w:name w:val="Heading 9 Char"/>
    <w:basedOn w:val="DefaultParagraphFont"/>
    <w:link w:val="Heading9"/>
    <w:rsid w:val="00DC7C4B"/>
    <w:rPr>
      <w:rFonts w:ascii="Arial" w:eastAsia="Times New Roman" w:hAnsi="Arial" w:cs="Times New Roman"/>
      <w:b/>
      <w:i/>
      <w:sz w:val="18"/>
      <w:szCs w:val="20"/>
    </w:rPr>
  </w:style>
  <w:style w:type="paragraph" w:customStyle="1" w:styleId="firstlevel">
    <w:name w:val="first level"/>
    <w:basedOn w:val="Normal"/>
    <w:rsid w:val="00DC7C4B"/>
    <w:pPr>
      <w:spacing w:before="100"/>
      <w:ind w:left="720" w:hanging="360"/>
    </w:pPr>
    <w:rPr>
      <w:szCs w:val="20"/>
    </w:rPr>
  </w:style>
  <w:style w:type="paragraph" w:styleId="CommentSubject">
    <w:name w:val="annotation subject"/>
    <w:basedOn w:val="CommentText"/>
    <w:next w:val="CommentText"/>
    <w:link w:val="CommentSubjectChar"/>
    <w:uiPriority w:val="99"/>
    <w:semiHidden/>
    <w:unhideWhenUsed/>
    <w:rsid w:val="00E36296"/>
    <w:rPr>
      <w:b/>
      <w:bCs/>
    </w:rPr>
  </w:style>
  <w:style w:type="character" w:customStyle="1" w:styleId="CommentSubjectChar">
    <w:name w:val="Comment Subject Char"/>
    <w:basedOn w:val="CommentTextChar"/>
    <w:link w:val="CommentSubject"/>
    <w:uiPriority w:val="99"/>
    <w:semiHidden/>
    <w:rsid w:val="00E36296"/>
    <w:rPr>
      <w:rFonts w:ascii="Times New Roman" w:eastAsia="Times New Roman" w:hAnsi="Times New Roman" w:cs="Times New Roman"/>
      <w:b/>
      <w:bCs/>
      <w:sz w:val="20"/>
      <w:szCs w:val="20"/>
    </w:rPr>
  </w:style>
  <w:style w:type="paragraph" w:styleId="NoSpacing">
    <w:name w:val="No Spacing"/>
    <w:uiPriority w:val="1"/>
    <w:qFormat/>
    <w:rsid w:val="00541F8C"/>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C75974"/>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D0182"/>
    <w:rPr>
      <w:color w:val="800080" w:themeColor="followedHyperlink"/>
      <w:u w:val="single"/>
    </w:rPr>
  </w:style>
  <w:style w:type="character" w:customStyle="1" w:styleId="UnresolvedMention1">
    <w:name w:val="Unresolved Mention1"/>
    <w:basedOn w:val="DefaultParagraphFont"/>
    <w:uiPriority w:val="99"/>
    <w:semiHidden/>
    <w:unhideWhenUsed/>
    <w:rsid w:val="00B433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lectagents.gov/SelectAgentsandToxinsList.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239B47D6A944B818B9D86DB567E42" ma:contentTypeVersion="15" ma:contentTypeDescription="Create a new document." ma:contentTypeScope="" ma:versionID="98ba2f43ae09a6598e1ab0984137ddb0">
  <xsd:schema xmlns:xsd="http://www.w3.org/2001/XMLSchema" xmlns:xs="http://www.w3.org/2001/XMLSchema" xmlns:p="http://schemas.microsoft.com/office/2006/metadata/properties" xmlns:ns3="9aa1e0e6-2716-45b6-85b5-b4f8c8f3a69c" xmlns:ns4="69acaeee-dad5-40a0-8e3f-b74064f6564c" targetNamespace="http://schemas.microsoft.com/office/2006/metadata/properties" ma:root="true" ma:fieldsID="d006eaf4ad61a34a65b2c9ee554962df" ns3:_="" ns4:_="">
    <xsd:import namespace="9aa1e0e6-2716-45b6-85b5-b4f8c8f3a69c"/>
    <xsd:import namespace="69acaeee-dad5-40a0-8e3f-b74064f656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1e0e6-2716-45b6-85b5-b4f8c8f3a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acaeee-dad5-40a0-8e3f-b74064f656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aa1e0e6-2716-45b6-85b5-b4f8c8f3a6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52C70-479E-4B1F-B7AE-C1D31808F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1e0e6-2716-45b6-85b5-b4f8c8f3a69c"/>
    <ds:schemaRef ds:uri="69acaeee-dad5-40a0-8e3f-b74064f65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DEE040-2353-496E-9563-26BB957B12B1}">
  <ds:schemaRefs>
    <ds:schemaRef ds:uri="http://schemas.microsoft.com/office/infopath/2007/PartnerControls"/>
    <ds:schemaRef ds:uri="9aa1e0e6-2716-45b6-85b5-b4f8c8f3a69c"/>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69acaeee-dad5-40a0-8e3f-b74064f6564c"/>
    <ds:schemaRef ds:uri="http://purl.org/dc/elements/1.1/"/>
  </ds:schemaRefs>
</ds:datastoreItem>
</file>

<file path=customXml/itemProps3.xml><?xml version="1.0" encoding="utf-8"?>
<ds:datastoreItem xmlns:ds="http://schemas.openxmlformats.org/officeDocument/2006/customXml" ds:itemID="{D4AB12BB-8D94-4A8C-BAD4-6D15E493328B}">
  <ds:schemaRefs>
    <ds:schemaRef ds:uri="http://schemas.microsoft.com/sharepoint/v3/contenttype/forms"/>
  </ds:schemaRefs>
</ds:datastoreItem>
</file>

<file path=customXml/itemProps4.xml><?xml version="1.0" encoding="utf-8"?>
<ds:datastoreItem xmlns:ds="http://schemas.openxmlformats.org/officeDocument/2006/customXml" ds:itemID="{350FC9E6-A371-465D-82A9-2926BA30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Campus Operations-- The University of Oregon</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Hallie Hoskins</dc:creator>
  <cp:lastModifiedBy>Laurie Graham</cp:lastModifiedBy>
  <cp:revision>3</cp:revision>
  <cp:lastPrinted>2023-03-09T17:31:00Z</cp:lastPrinted>
  <dcterms:created xsi:type="dcterms:W3CDTF">2023-04-28T00:09:00Z</dcterms:created>
  <dcterms:modified xsi:type="dcterms:W3CDTF">2023-10-19T16:37:00Z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0x010100F8D239B47D6A944B818B9D86DB567E42</vt:lpwstr>
  </property>
</Properties>
</file>